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5B6A" w14:textId="2405E08E" w:rsidR="0003256D" w:rsidRPr="00B731DB" w:rsidRDefault="009311F9" w:rsidP="00B731DB">
      <w:pPr>
        <w:spacing w:line="360" w:lineRule="auto"/>
        <w:jc w:val="center"/>
        <w:rPr>
          <w:rFonts w:ascii="Times New Roman" w:hAnsi="Times New Roman" w:cs="Times New Roman"/>
          <w:b/>
          <w:sz w:val="28"/>
          <w:szCs w:val="28"/>
        </w:rPr>
      </w:pPr>
      <w:r w:rsidRPr="00B731DB">
        <w:rPr>
          <w:rFonts w:ascii="Times New Roman" w:hAnsi="Times New Roman" w:cs="Times New Roman"/>
          <w:b/>
          <w:sz w:val="28"/>
          <w:szCs w:val="28"/>
        </w:rPr>
        <w:t>Department of Physics</w:t>
      </w:r>
      <w:r w:rsidR="00482468" w:rsidRPr="00B731DB">
        <w:rPr>
          <w:rFonts w:ascii="Times New Roman" w:hAnsi="Times New Roman" w:cs="Times New Roman"/>
          <w:b/>
          <w:sz w:val="28"/>
          <w:szCs w:val="28"/>
        </w:rPr>
        <w:t xml:space="preserve"> </w:t>
      </w:r>
      <w:r w:rsidR="0003256D" w:rsidRPr="00B731DB">
        <w:rPr>
          <w:rFonts w:ascii="Times New Roman" w:hAnsi="Times New Roman" w:cs="Times New Roman"/>
          <w:b/>
          <w:sz w:val="28"/>
          <w:szCs w:val="28"/>
        </w:rPr>
        <w:t>–</w:t>
      </w:r>
      <w:r w:rsidR="00482468" w:rsidRPr="00B731DB">
        <w:rPr>
          <w:rFonts w:ascii="Times New Roman" w:hAnsi="Times New Roman" w:cs="Times New Roman"/>
          <w:b/>
          <w:sz w:val="28"/>
          <w:szCs w:val="28"/>
        </w:rPr>
        <w:t xml:space="preserve"> DRAFT</w:t>
      </w:r>
    </w:p>
    <w:p w14:paraId="5C8B4FBA" w14:textId="77777777" w:rsidR="0003256D" w:rsidRPr="00B731DB" w:rsidRDefault="009311F9" w:rsidP="00B731DB">
      <w:pPr>
        <w:spacing w:line="360" w:lineRule="auto"/>
        <w:jc w:val="center"/>
        <w:rPr>
          <w:rFonts w:ascii="Times New Roman" w:hAnsi="Times New Roman" w:cs="Times New Roman"/>
          <w:b/>
          <w:sz w:val="28"/>
          <w:szCs w:val="28"/>
        </w:rPr>
      </w:pPr>
      <w:r w:rsidRPr="00B731DB">
        <w:rPr>
          <w:rFonts w:ascii="Times New Roman" w:hAnsi="Times New Roman" w:cs="Times New Roman"/>
          <w:b/>
          <w:sz w:val="28"/>
          <w:szCs w:val="28"/>
        </w:rPr>
        <w:t>Guidelines for Promotion and Tenure</w:t>
      </w:r>
      <w:r w:rsidR="0003256D" w:rsidRPr="00B731DB">
        <w:rPr>
          <w:rFonts w:ascii="Times New Roman" w:hAnsi="Times New Roman" w:cs="Times New Roman"/>
          <w:b/>
          <w:sz w:val="28"/>
          <w:szCs w:val="28"/>
        </w:rPr>
        <w:t xml:space="preserve"> </w:t>
      </w:r>
    </w:p>
    <w:p w14:paraId="65AB7FE3" w14:textId="272789D0" w:rsidR="009311F9" w:rsidRPr="00B731DB" w:rsidRDefault="00ED11F1" w:rsidP="00B731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September 2022</w:t>
      </w:r>
    </w:p>
    <w:p w14:paraId="10846268" w14:textId="77777777" w:rsidR="0003256D" w:rsidRPr="00B731DB" w:rsidRDefault="0003256D" w:rsidP="00B731DB">
      <w:pPr>
        <w:spacing w:line="360" w:lineRule="auto"/>
        <w:jc w:val="center"/>
        <w:rPr>
          <w:rFonts w:ascii="Times New Roman" w:hAnsi="Times New Roman" w:cs="Times New Roman"/>
          <w:b/>
          <w:sz w:val="28"/>
          <w:szCs w:val="28"/>
        </w:rPr>
      </w:pPr>
    </w:p>
    <w:p w14:paraId="7F5607F8" w14:textId="3E7BAD68" w:rsidR="009311F9" w:rsidRPr="00B731DB" w:rsidRDefault="00D63090" w:rsidP="00B731DB">
      <w:pPr>
        <w:pStyle w:val="Subtitle"/>
        <w:spacing w:line="360" w:lineRule="auto"/>
        <w:rPr>
          <w:rFonts w:ascii="Times New Roman" w:hAnsi="Times New Roman" w:cs="Times New Roman"/>
          <w:b/>
          <w:color w:val="auto"/>
        </w:rPr>
      </w:pPr>
      <w:r w:rsidRPr="00B731DB">
        <w:rPr>
          <w:rFonts w:ascii="Times New Roman" w:hAnsi="Times New Roman" w:cs="Times New Roman"/>
          <w:b/>
          <w:color w:val="auto"/>
        </w:rPr>
        <w:t>Physics Department Ethos</w:t>
      </w:r>
    </w:p>
    <w:p w14:paraId="227CB380" w14:textId="0D9B8CFC" w:rsidR="009311F9" w:rsidRPr="00B731DB" w:rsidRDefault="009311F9" w:rsidP="00B731DB">
      <w:pPr>
        <w:spacing w:line="360" w:lineRule="auto"/>
        <w:rPr>
          <w:rFonts w:ascii="Times New Roman" w:hAnsi="Times New Roman" w:cs="Times New Roman"/>
        </w:rPr>
      </w:pPr>
      <w:r w:rsidRPr="00B731DB">
        <w:rPr>
          <w:rFonts w:ascii="Times New Roman" w:hAnsi="Times New Roman" w:cs="Times New Roman"/>
        </w:rPr>
        <w:t xml:space="preserve">The Physics department has a long history of innovative and </w:t>
      </w:r>
      <w:r w:rsidR="005A195C" w:rsidRPr="00B731DB">
        <w:rPr>
          <w:rFonts w:ascii="Times New Roman" w:hAnsi="Times New Roman" w:cs="Times New Roman"/>
        </w:rPr>
        <w:t>high-quality</w:t>
      </w:r>
      <w:r w:rsidRPr="00B731DB">
        <w:rPr>
          <w:rFonts w:ascii="Times New Roman" w:hAnsi="Times New Roman" w:cs="Times New Roman"/>
        </w:rPr>
        <w:t xml:space="preserve"> teaching</w:t>
      </w:r>
      <w:r w:rsidR="003E7401" w:rsidRPr="00B731DB">
        <w:rPr>
          <w:rFonts w:ascii="Times New Roman" w:hAnsi="Times New Roman" w:cs="Times New Roman"/>
        </w:rPr>
        <w:t xml:space="preserve"> and mentoring</w:t>
      </w:r>
      <w:r w:rsidR="00C1211E" w:rsidRPr="00B731DB">
        <w:rPr>
          <w:rFonts w:ascii="Times New Roman" w:hAnsi="Times New Roman" w:cs="Times New Roman"/>
        </w:rPr>
        <w:t>, active and novel research</w:t>
      </w:r>
      <w:r w:rsidRPr="00B731DB">
        <w:rPr>
          <w:rFonts w:ascii="Times New Roman" w:hAnsi="Times New Roman" w:cs="Times New Roman"/>
        </w:rPr>
        <w:t xml:space="preserve">, and service to </w:t>
      </w:r>
      <w:r w:rsidR="00C1211E" w:rsidRPr="00B731DB">
        <w:rPr>
          <w:rFonts w:ascii="Times New Roman" w:hAnsi="Times New Roman" w:cs="Times New Roman"/>
        </w:rPr>
        <w:t xml:space="preserve">the </w:t>
      </w:r>
      <w:r w:rsidR="00B156FA">
        <w:rPr>
          <w:rFonts w:ascii="Times New Roman" w:hAnsi="Times New Roman" w:cs="Times New Roman"/>
        </w:rPr>
        <w:t>University</w:t>
      </w:r>
      <w:r w:rsidR="00C1211E" w:rsidRPr="00B731DB">
        <w:rPr>
          <w:rFonts w:ascii="Times New Roman" w:hAnsi="Times New Roman" w:cs="Times New Roman"/>
        </w:rPr>
        <w:t xml:space="preserve"> and </w:t>
      </w:r>
      <w:r w:rsidR="003E7401" w:rsidRPr="00B731DB">
        <w:rPr>
          <w:rFonts w:ascii="Times New Roman" w:hAnsi="Times New Roman" w:cs="Times New Roman"/>
        </w:rPr>
        <w:t xml:space="preserve">the </w:t>
      </w:r>
      <w:r w:rsidR="00C1211E" w:rsidRPr="00B731DB">
        <w:rPr>
          <w:rFonts w:ascii="Times New Roman" w:hAnsi="Times New Roman" w:cs="Times New Roman"/>
        </w:rPr>
        <w:t>broader physics</w:t>
      </w:r>
      <w:r w:rsidR="003E7401" w:rsidRPr="00B731DB">
        <w:rPr>
          <w:rFonts w:ascii="Times New Roman" w:hAnsi="Times New Roman" w:cs="Times New Roman"/>
        </w:rPr>
        <w:t xml:space="preserve">/academic communities. </w:t>
      </w:r>
      <w:r w:rsidRPr="00B731DB">
        <w:rPr>
          <w:rFonts w:ascii="Times New Roman" w:hAnsi="Times New Roman" w:cs="Times New Roman"/>
        </w:rPr>
        <w:t xml:space="preserve">Threaded throughout this history is a core belief that students learn physics best by doing physics and that the best physics faculty are consistently engaged in novel research and are active leaders/participants in the </w:t>
      </w:r>
      <w:r w:rsidR="00B156FA">
        <w:rPr>
          <w:rFonts w:ascii="Times New Roman" w:hAnsi="Times New Roman" w:cs="Times New Roman"/>
        </w:rPr>
        <w:t>University</w:t>
      </w:r>
      <w:r w:rsidRPr="00B731DB">
        <w:rPr>
          <w:rFonts w:ascii="Times New Roman" w:hAnsi="Times New Roman" w:cs="Times New Roman"/>
        </w:rPr>
        <w:t xml:space="preserve"> and v</w:t>
      </w:r>
      <w:r w:rsidR="003E7401" w:rsidRPr="00B731DB">
        <w:rPr>
          <w:rFonts w:ascii="Times New Roman" w:hAnsi="Times New Roman" w:cs="Times New Roman"/>
        </w:rPr>
        <w:t xml:space="preserve">arious other </w:t>
      </w:r>
      <w:r w:rsidRPr="00B731DB">
        <w:rPr>
          <w:rFonts w:ascii="Times New Roman" w:hAnsi="Times New Roman" w:cs="Times New Roman"/>
        </w:rPr>
        <w:t>communities.</w:t>
      </w:r>
      <w:r w:rsidR="00F02306" w:rsidRPr="00B731DB">
        <w:rPr>
          <w:rFonts w:ascii="Times New Roman" w:hAnsi="Times New Roman" w:cs="Times New Roman"/>
        </w:rPr>
        <w:t xml:space="preserve"> </w:t>
      </w:r>
      <w:r w:rsidR="005018D3" w:rsidRPr="00B731DB">
        <w:rPr>
          <w:rFonts w:ascii="Times New Roman" w:hAnsi="Times New Roman" w:cs="Times New Roman"/>
        </w:rPr>
        <w:t xml:space="preserve">With this in mind, physics faculty seek to articulate the mission of the </w:t>
      </w:r>
      <w:r w:rsidR="00B156FA">
        <w:rPr>
          <w:rFonts w:ascii="Times New Roman" w:hAnsi="Times New Roman" w:cs="Times New Roman"/>
        </w:rPr>
        <w:t>University</w:t>
      </w:r>
      <w:r w:rsidR="005018D3" w:rsidRPr="00B731DB">
        <w:rPr>
          <w:rFonts w:ascii="Times New Roman" w:hAnsi="Times New Roman" w:cs="Times New Roman"/>
        </w:rPr>
        <w:t xml:space="preserve"> clear by modeling the connection between learning and life outside the classroom and service to communities. </w:t>
      </w:r>
    </w:p>
    <w:p w14:paraId="24FEF976" w14:textId="491AD8E5" w:rsidR="009311F9" w:rsidRPr="00B731DB" w:rsidRDefault="009311F9" w:rsidP="00B731DB">
      <w:pPr>
        <w:spacing w:line="360" w:lineRule="auto"/>
        <w:rPr>
          <w:rFonts w:ascii="Times New Roman" w:hAnsi="Times New Roman" w:cs="Times New Roman"/>
        </w:rPr>
      </w:pPr>
      <w:r w:rsidRPr="00B731DB">
        <w:rPr>
          <w:rFonts w:ascii="Times New Roman" w:hAnsi="Times New Roman" w:cs="Times New Roman"/>
        </w:rPr>
        <w:t>The physic</w:t>
      </w:r>
      <w:r w:rsidR="00C1211E" w:rsidRPr="00B731DB">
        <w:rPr>
          <w:rFonts w:ascii="Times New Roman" w:hAnsi="Times New Roman" w:cs="Times New Roman"/>
        </w:rPr>
        <w:t>s</w:t>
      </w:r>
      <w:r w:rsidRPr="00B731DB">
        <w:rPr>
          <w:rFonts w:ascii="Times New Roman" w:hAnsi="Times New Roman" w:cs="Times New Roman"/>
        </w:rPr>
        <w:t xml:space="preserve"> department recognizes that faculty should shape </w:t>
      </w:r>
      <w:r w:rsidR="00C1211E" w:rsidRPr="00B731DB">
        <w:rPr>
          <w:rFonts w:ascii="Times New Roman" w:hAnsi="Times New Roman" w:cs="Times New Roman"/>
        </w:rPr>
        <w:t xml:space="preserve">their own distinct </w:t>
      </w:r>
      <w:r w:rsidRPr="00B731DB">
        <w:rPr>
          <w:rFonts w:ascii="Times New Roman" w:hAnsi="Times New Roman" w:cs="Times New Roman"/>
        </w:rPr>
        <w:t>identity</w:t>
      </w:r>
      <w:r w:rsidR="00515911" w:rsidRPr="00B731DB">
        <w:rPr>
          <w:rFonts w:ascii="Times New Roman" w:hAnsi="Times New Roman" w:cs="Times New Roman"/>
        </w:rPr>
        <w:t xml:space="preserve"> and should</w:t>
      </w:r>
      <w:r w:rsidR="00C1211E" w:rsidRPr="00B731DB">
        <w:rPr>
          <w:rFonts w:ascii="Times New Roman" w:hAnsi="Times New Roman" w:cs="Times New Roman"/>
        </w:rPr>
        <w:t xml:space="preserve"> have the ability to choose the</w:t>
      </w:r>
      <w:r w:rsidR="00515911" w:rsidRPr="00B731DB">
        <w:rPr>
          <w:rFonts w:ascii="Times New Roman" w:hAnsi="Times New Roman" w:cs="Times New Roman"/>
        </w:rPr>
        <w:t xml:space="preserve"> path</w:t>
      </w:r>
      <w:r w:rsidR="00C1211E" w:rsidRPr="00B731DB">
        <w:rPr>
          <w:rFonts w:ascii="Times New Roman" w:hAnsi="Times New Roman" w:cs="Times New Roman"/>
        </w:rPr>
        <w:t xml:space="preserve"> they take</w:t>
      </w:r>
      <w:r w:rsidR="00B156FA" w:rsidRPr="00B731DB">
        <w:rPr>
          <w:rFonts w:ascii="Times New Roman" w:hAnsi="Times New Roman" w:cs="Times New Roman"/>
        </w:rPr>
        <w:t xml:space="preserve">. </w:t>
      </w:r>
      <w:r w:rsidR="00515911" w:rsidRPr="00B731DB">
        <w:rPr>
          <w:rFonts w:ascii="Times New Roman" w:hAnsi="Times New Roman" w:cs="Times New Roman"/>
        </w:rPr>
        <w:t>A candidate should clearly articulate how this path connects to the values and objectives of t</w:t>
      </w:r>
      <w:r w:rsidR="00263311" w:rsidRPr="00B731DB">
        <w:rPr>
          <w:rFonts w:ascii="Times New Roman" w:hAnsi="Times New Roman" w:cs="Times New Roman"/>
        </w:rPr>
        <w:t xml:space="preserve">he department and the </w:t>
      </w:r>
      <w:r w:rsidR="00B156FA">
        <w:rPr>
          <w:rFonts w:ascii="Times New Roman" w:hAnsi="Times New Roman" w:cs="Times New Roman"/>
        </w:rPr>
        <w:t>University</w:t>
      </w:r>
      <w:r w:rsidR="00263311" w:rsidRPr="00B731DB">
        <w:rPr>
          <w:rFonts w:ascii="Times New Roman" w:hAnsi="Times New Roman" w:cs="Times New Roman"/>
        </w:rPr>
        <w:t xml:space="preserve">. </w:t>
      </w:r>
    </w:p>
    <w:p w14:paraId="1546067A" w14:textId="476CDA0E" w:rsidR="003E7401" w:rsidRPr="00B731DB" w:rsidRDefault="00515911" w:rsidP="00B731DB">
      <w:pPr>
        <w:spacing w:line="360" w:lineRule="auto"/>
        <w:rPr>
          <w:rFonts w:ascii="Times New Roman" w:hAnsi="Times New Roman" w:cs="Times New Roman"/>
        </w:rPr>
      </w:pPr>
      <w:r w:rsidRPr="00B731DB">
        <w:rPr>
          <w:rFonts w:ascii="Times New Roman" w:hAnsi="Times New Roman" w:cs="Times New Roman"/>
        </w:rPr>
        <w:t xml:space="preserve">The department’s expectations </w:t>
      </w:r>
      <w:r w:rsidR="00BE206F" w:rsidRPr="00B731DB">
        <w:rPr>
          <w:rFonts w:ascii="Times New Roman" w:hAnsi="Times New Roman" w:cs="Times New Roman"/>
        </w:rPr>
        <w:t>focus on the three areas commonly classified as Teaching Effectiveness, Professional Achievement, and Service</w:t>
      </w:r>
      <w:r w:rsidR="005A195C" w:rsidRPr="00B731DB">
        <w:rPr>
          <w:rFonts w:ascii="Times New Roman" w:hAnsi="Times New Roman" w:cs="Times New Roman"/>
        </w:rPr>
        <w:t xml:space="preserve">. </w:t>
      </w:r>
      <w:r w:rsidR="00BE206F" w:rsidRPr="00B731DB">
        <w:rPr>
          <w:rFonts w:ascii="Times New Roman" w:hAnsi="Times New Roman" w:cs="Times New Roman"/>
        </w:rPr>
        <w:t>These expectations are consistent with other physics departments at similar institutions</w:t>
      </w:r>
      <w:r w:rsidR="00E639F2" w:rsidRPr="00B731DB">
        <w:rPr>
          <w:rFonts w:ascii="Times New Roman" w:hAnsi="Times New Roman" w:cs="Times New Roman"/>
        </w:rPr>
        <w:t xml:space="preserve"> (see Appendices)</w:t>
      </w:r>
      <w:r w:rsidR="00BE206F" w:rsidRPr="00B731DB">
        <w:rPr>
          <w:rFonts w:ascii="Times New Roman" w:hAnsi="Times New Roman" w:cs="Times New Roman"/>
        </w:rPr>
        <w:t>.</w:t>
      </w:r>
      <w:r w:rsidR="00424CEA" w:rsidRPr="00B731DB">
        <w:rPr>
          <w:rFonts w:ascii="Times New Roman" w:hAnsi="Times New Roman" w:cs="Times New Roman"/>
        </w:rPr>
        <w:t xml:space="preserve"> Department colleagues will provide context for the candidate’s path in each of the three areas through colleague appraisals.</w:t>
      </w:r>
      <w:r w:rsidR="00EE64AE">
        <w:rPr>
          <w:rFonts w:ascii="Times New Roman" w:hAnsi="Times New Roman" w:cs="Times New Roman"/>
        </w:rPr>
        <w:t xml:space="preserve">  </w:t>
      </w:r>
      <w:r w:rsidR="00EE64AE" w:rsidRPr="00EE64AE">
        <w:rPr>
          <w:rFonts w:ascii="Times New Roman" w:hAnsi="Times New Roman" w:cs="Times New Roman"/>
        </w:rPr>
        <w:t>Of the three evaluation categories, teaching effectiveness and professional effectiveness clearly are the most important. Excellence in professional achievement and/or service will not make up for inadequate performance in the teaching area; advancement at Linfield will depend on excellent teaching. At the same time, performance in the other two areas must not be slighted. Accomplishment in these areas must be present for advancement, with professional achievement being more important than service</w:t>
      </w:r>
    </w:p>
    <w:p w14:paraId="02E6145F" w14:textId="77777777" w:rsidR="00502BF5" w:rsidRPr="00B731DB" w:rsidRDefault="00502BF5" w:rsidP="00B731DB">
      <w:pPr>
        <w:pStyle w:val="Subtitle"/>
        <w:spacing w:line="360" w:lineRule="auto"/>
        <w:rPr>
          <w:rFonts w:ascii="Times New Roman" w:hAnsi="Times New Roman" w:cs="Times New Roman"/>
          <w:b/>
          <w:color w:val="auto"/>
        </w:rPr>
      </w:pPr>
    </w:p>
    <w:p w14:paraId="0D030B1D" w14:textId="77777777" w:rsidR="00BE206F" w:rsidRPr="00B731DB" w:rsidRDefault="00BE206F" w:rsidP="00B731DB">
      <w:pPr>
        <w:pStyle w:val="Subtitle"/>
        <w:spacing w:line="360" w:lineRule="auto"/>
        <w:rPr>
          <w:rFonts w:ascii="Times New Roman" w:hAnsi="Times New Roman" w:cs="Times New Roman"/>
          <w:b/>
          <w:color w:val="auto"/>
        </w:rPr>
      </w:pPr>
      <w:r w:rsidRPr="00B731DB">
        <w:rPr>
          <w:rFonts w:ascii="Times New Roman" w:hAnsi="Times New Roman" w:cs="Times New Roman"/>
          <w:b/>
          <w:color w:val="auto"/>
        </w:rPr>
        <w:t>Teaching Effectiveness</w:t>
      </w:r>
    </w:p>
    <w:p w14:paraId="48CE0517" w14:textId="3987D0BD" w:rsidR="00BE206F" w:rsidRPr="00B731DB" w:rsidRDefault="00BE206F" w:rsidP="00B731DB">
      <w:pPr>
        <w:spacing w:line="360" w:lineRule="auto"/>
        <w:rPr>
          <w:rFonts w:ascii="Times New Roman" w:hAnsi="Times New Roman" w:cs="Times New Roman"/>
        </w:rPr>
      </w:pPr>
      <w:r w:rsidRPr="00B731DB">
        <w:rPr>
          <w:rFonts w:ascii="Times New Roman" w:hAnsi="Times New Roman" w:cs="Times New Roman"/>
        </w:rPr>
        <w:t xml:space="preserve">Faculty should offer courses in a manner that encourages </w:t>
      </w:r>
      <w:r w:rsidR="00C1211E" w:rsidRPr="00B731DB">
        <w:rPr>
          <w:rFonts w:ascii="Times New Roman" w:hAnsi="Times New Roman" w:cs="Times New Roman"/>
        </w:rPr>
        <w:t>and challenges students</w:t>
      </w:r>
      <w:r w:rsidR="00EE4160" w:rsidRPr="00B731DB">
        <w:rPr>
          <w:rFonts w:ascii="Times New Roman" w:hAnsi="Times New Roman" w:cs="Times New Roman"/>
        </w:rPr>
        <w:t xml:space="preserve"> to grow and excel</w:t>
      </w:r>
      <w:r w:rsidR="005A195C" w:rsidRPr="00B731DB">
        <w:rPr>
          <w:rFonts w:ascii="Times New Roman" w:hAnsi="Times New Roman" w:cs="Times New Roman"/>
        </w:rPr>
        <w:t xml:space="preserve">. </w:t>
      </w:r>
      <w:r w:rsidRPr="00B731DB">
        <w:rPr>
          <w:rFonts w:ascii="Times New Roman" w:hAnsi="Times New Roman" w:cs="Times New Roman"/>
        </w:rPr>
        <w:t xml:space="preserve">The organization and delivery of courses should be adapted for the needs of the </w:t>
      </w:r>
      <w:r w:rsidR="00C1211E" w:rsidRPr="00B731DB">
        <w:rPr>
          <w:rFonts w:ascii="Times New Roman" w:hAnsi="Times New Roman" w:cs="Times New Roman"/>
        </w:rPr>
        <w:t>course and to maximize</w:t>
      </w:r>
      <w:r w:rsidRPr="00B731DB">
        <w:rPr>
          <w:rFonts w:ascii="Times New Roman" w:hAnsi="Times New Roman" w:cs="Times New Roman"/>
        </w:rPr>
        <w:t xml:space="preserve"> </w:t>
      </w:r>
      <w:r w:rsidRPr="00B731DB">
        <w:rPr>
          <w:rFonts w:ascii="Times New Roman" w:hAnsi="Times New Roman" w:cs="Times New Roman"/>
        </w:rPr>
        <w:lastRenderedPageBreak/>
        <w:t>student learning</w:t>
      </w:r>
      <w:r w:rsidR="005A195C" w:rsidRPr="00B731DB">
        <w:rPr>
          <w:rFonts w:ascii="Times New Roman" w:hAnsi="Times New Roman" w:cs="Times New Roman"/>
        </w:rPr>
        <w:t xml:space="preserve">. </w:t>
      </w:r>
      <w:r w:rsidRPr="00B731DB">
        <w:rPr>
          <w:rFonts w:ascii="Times New Roman" w:hAnsi="Times New Roman" w:cs="Times New Roman"/>
        </w:rPr>
        <w:t>Courses should be continually revised in a thoughtful manner, taking into consideration student and departmental feedback as well as evidence-based pedagogical techniques</w:t>
      </w:r>
      <w:r w:rsidR="005A195C" w:rsidRPr="00B731DB">
        <w:rPr>
          <w:rFonts w:ascii="Times New Roman" w:hAnsi="Times New Roman" w:cs="Times New Roman"/>
        </w:rPr>
        <w:t xml:space="preserve">. </w:t>
      </w:r>
      <w:r w:rsidRPr="00B731DB">
        <w:rPr>
          <w:rFonts w:ascii="Times New Roman" w:hAnsi="Times New Roman" w:cs="Times New Roman"/>
        </w:rPr>
        <w:t>The candidate’s promotion and tenure file should demo</w:t>
      </w:r>
      <w:r w:rsidR="00263311" w:rsidRPr="00B731DB">
        <w:rPr>
          <w:rFonts w:ascii="Times New Roman" w:hAnsi="Times New Roman" w:cs="Times New Roman"/>
        </w:rPr>
        <w:t>nstrate this type of reflection and provide evidence that feedback from colleagues and students has been addressed.</w:t>
      </w:r>
    </w:p>
    <w:p w14:paraId="4FB1C03C" w14:textId="1B29C484" w:rsidR="0022104B" w:rsidRDefault="00ED11F1" w:rsidP="00B731DB">
      <w:pPr>
        <w:spacing w:line="360" w:lineRule="auto"/>
        <w:rPr>
          <w:rFonts w:ascii="Times New Roman" w:hAnsi="Times New Roman" w:cs="Times New Roman"/>
        </w:rPr>
      </w:pPr>
      <w:r>
        <w:rPr>
          <w:rFonts w:ascii="Times New Roman" w:hAnsi="Times New Roman" w:cs="Times New Roman"/>
        </w:rPr>
        <w:t>Teaching effectiveness will be evaluated through a combination of student, colleague, and department chair appraisals</w:t>
      </w:r>
      <w:r w:rsidR="005A195C">
        <w:rPr>
          <w:rFonts w:ascii="Times New Roman" w:hAnsi="Times New Roman" w:cs="Times New Roman"/>
        </w:rPr>
        <w:t xml:space="preserve">. </w:t>
      </w:r>
      <w:r>
        <w:rPr>
          <w:rFonts w:ascii="Times New Roman" w:hAnsi="Times New Roman" w:cs="Times New Roman"/>
        </w:rPr>
        <w:t>All tenured and tenure-track faculty members will collect student appraisals through formal course evaluations</w:t>
      </w:r>
      <w:r w:rsidR="005A195C">
        <w:rPr>
          <w:rFonts w:ascii="Times New Roman" w:hAnsi="Times New Roman" w:cs="Times New Roman"/>
        </w:rPr>
        <w:t xml:space="preserve">. </w:t>
      </w:r>
      <w:r>
        <w:rPr>
          <w:rFonts w:ascii="Times New Roman" w:hAnsi="Times New Roman" w:cs="Times New Roman"/>
        </w:rPr>
        <w:t xml:space="preserve">The department has determined that certain courses (primarily lab courses) will not be evaluated </w:t>
      </w:r>
      <w:r w:rsidR="00026D5B">
        <w:rPr>
          <w:rFonts w:ascii="Times New Roman" w:hAnsi="Times New Roman" w:cs="Times New Roman"/>
        </w:rPr>
        <w:t>in this way</w:t>
      </w:r>
      <w:r w:rsidR="005A195C">
        <w:rPr>
          <w:rFonts w:ascii="Times New Roman" w:hAnsi="Times New Roman" w:cs="Times New Roman"/>
        </w:rPr>
        <w:t xml:space="preserve">. </w:t>
      </w:r>
      <w:r>
        <w:rPr>
          <w:rFonts w:ascii="Times New Roman" w:hAnsi="Times New Roman" w:cs="Times New Roman"/>
        </w:rPr>
        <w:t xml:space="preserve">This distinction is </w:t>
      </w:r>
      <w:r w:rsidR="00026D5B">
        <w:rPr>
          <w:rFonts w:ascii="Times New Roman" w:hAnsi="Times New Roman" w:cs="Times New Roman"/>
        </w:rPr>
        <w:t>because students in experiential based courses struggle to reconcile the differences in class activities with the formal evaluation questions</w:t>
      </w:r>
      <w:r w:rsidR="005A195C">
        <w:rPr>
          <w:rFonts w:ascii="Times New Roman" w:hAnsi="Times New Roman" w:cs="Times New Roman"/>
        </w:rPr>
        <w:t xml:space="preserve">. </w:t>
      </w:r>
      <w:r w:rsidR="00026D5B">
        <w:rPr>
          <w:rFonts w:ascii="Times New Roman" w:hAnsi="Times New Roman" w:cs="Times New Roman"/>
        </w:rPr>
        <w:t>Thus, courses such at PHYS 025 (Machine Shop), PHYS 210L and 211L, PHYS 385 and 386 may be excluded.</w:t>
      </w:r>
    </w:p>
    <w:p w14:paraId="13C29CBF" w14:textId="751D9DA6" w:rsidR="00B13606" w:rsidRPr="00B731DB" w:rsidRDefault="00B13606" w:rsidP="00B13606">
      <w:pPr>
        <w:spacing w:line="360" w:lineRule="auto"/>
        <w:rPr>
          <w:rFonts w:ascii="Times New Roman" w:hAnsi="Times New Roman" w:cs="Times New Roman"/>
        </w:rPr>
      </w:pPr>
      <w:r w:rsidRPr="00B731DB">
        <w:rPr>
          <w:rFonts w:ascii="Times New Roman" w:hAnsi="Times New Roman" w:cs="Times New Roman"/>
        </w:rPr>
        <w:t>Colleague evaluations for the area of teaching effectiveness will be made primarily from discussions with the candidate, from classroom observations, and student evaluations</w:t>
      </w:r>
      <w:r w:rsidR="005A195C" w:rsidRPr="00B731DB">
        <w:rPr>
          <w:rFonts w:ascii="Times New Roman" w:hAnsi="Times New Roman" w:cs="Times New Roman"/>
        </w:rPr>
        <w:t xml:space="preserve">. </w:t>
      </w:r>
      <w:r w:rsidRPr="00B731DB">
        <w:rPr>
          <w:rFonts w:ascii="Times New Roman" w:hAnsi="Times New Roman" w:cs="Times New Roman"/>
        </w:rPr>
        <w:t>Untenured faculty are observed annually by the department chair and at least once prior to promotion by every tenured member of the department</w:t>
      </w:r>
      <w:r w:rsidR="005A195C" w:rsidRPr="00B731DB">
        <w:rPr>
          <w:rFonts w:ascii="Times New Roman" w:hAnsi="Times New Roman" w:cs="Times New Roman"/>
        </w:rPr>
        <w:t xml:space="preserve">. </w:t>
      </w:r>
      <w:r w:rsidRPr="00B731DB">
        <w:rPr>
          <w:rFonts w:ascii="Times New Roman" w:hAnsi="Times New Roman" w:cs="Times New Roman"/>
        </w:rPr>
        <w:t>Associate professors are observed by every tenured member of the department prior to promotion to full professor.</w:t>
      </w:r>
    </w:p>
    <w:p w14:paraId="49E93C7E" w14:textId="77777777" w:rsidR="00B13606" w:rsidRDefault="00B13606" w:rsidP="00B731DB">
      <w:pPr>
        <w:spacing w:line="360" w:lineRule="auto"/>
        <w:rPr>
          <w:rFonts w:ascii="Times New Roman" w:hAnsi="Times New Roman" w:cs="Times New Roman"/>
        </w:rPr>
      </w:pPr>
    </w:p>
    <w:p w14:paraId="39A69963" w14:textId="77777777" w:rsidR="0022104B" w:rsidRDefault="0022104B" w:rsidP="00B731DB">
      <w:pPr>
        <w:spacing w:line="360" w:lineRule="auto"/>
        <w:rPr>
          <w:rFonts w:ascii="Times New Roman" w:hAnsi="Times New Roman" w:cs="Times New Roman"/>
        </w:rPr>
      </w:pPr>
      <w:r>
        <w:rPr>
          <w:rFonts w:ascii="Times New Roman" w:hAnsi="Times New Roman" w:cs="Times New Roman"/>
        </w:rPr>
        <w:t>The University states the following evidence for teaching effectiveness:</w:t>
      </w:r>
    </w:p>
    <w:p w14:paraId="1C161904" w14:textId="246FBC48" w:rsidR="00ED11F1"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Knowledge of and enthusiasm for the subject matter</w:t>
      </w:r>
    </w:p>
    <w:p w14:paraId="6D96D0AC" w14:textId="07AF8D00"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Attention to the organization of courses as it relates to the level and preparation of the students</w:t>
      </w:r>
    </w:p>
    <w:p w14:paraId="74C0E402" w14:textId="0DD20EC6"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Organization and effective use of class time</w:t>
      </w:r>
    </w:p>
    <w:p w14:paraId="4E8D7E06" w14:textId="5AF2F9EC"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High expectations for each student</w:t>
      </w:r>
    </w:p>
    <w:p w14:paraId="366ACA3F" w14:textId="64447CDB"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Respect for student’ viewpoints</w:t>
      </w:r>
    </w:p>
    <w:p w14:paraId="3276B740" w14:textId="6B6DFADE"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Use of effective and fair grading methods</w:t>
      </w:r>
    </w:p>
    <w:p w14:paraId="753DF8CD" w14:textId="66BC507F"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What students take from their course</w:t>
      </w:r>
    </w:p>
    <w:p w14:paraId="6168F306" w14:textId="450127FC"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Availability for consultation with students</w:t>
      </w:r>
    </w:p>
    <w:p w14:paraId="5867BAD3" w14:textId="44719139" w:rsidR="00426420" w:rsidRDefault="00426420" w:rsidP="00426420">
      <w:pPr>
        <w:pStyle w:val="ListParagraph"/>
        <w:numPr>
          <w:ilvl w:val="0"/>
          <w:numId w:val="3"/>
        </w:numPr>
        <w:spacing w:line="360" w:lineRule="auto"/>
        <w:rPr>
          <w:rFonts w:ascii="Times New Roman" w:hAnsi="Times New Roman" w:cs="Times New Roman"/>
        </w:rPr>
      </w:pPr>
      <w:r>
        <w:rPr>
          <w:rFonts w:ascii="Times New Roman" w:hAnsi="Times New Roman" w:cs="Times New Roman"/>
        </w:rPr>
        <w:t>Consistent and effective attention to the needs of advisees</w:t>
      </w:r>
    </w:p>
    <w:p w14:paraId="53DD015C" w14:textId="0AE476A2" w:rsidR="00426420" w:rsidRDefault="00426420" w:rsidP="00426420">
      <w:pPr>
        <w:spacing w:line="360" w:lineRule="auto"/>
        <w:rPr>
          <w:rFonts w:ascii="Times New Roman" w:hAnsi="Times New Roman" w:cs="Times New Roman"/>
        </w:rPr>
      </w:pPr>
      <w:r>
        <w:rPr>
          <w:rFonts w:ascii="Times New Roman" w:hAnsi="Times New Roman" w:cs="Times New Roman"/>
        </w:rPr>
        <w:t>In addition to these, the Physics Department values evidence of continued pedagogical development</w:t>
      </w:r>
      <w:r w:rsidR="005A195C">
        <w:rPr>
          <w:rFonts w:ascii="Times New Roman" w:hAnsi="Times New Roman" w:cs="Times New Roman"/>
        </w:rPr>
        <w:t xml:space="preserve">. </w:t>
      </w:r>
      <w:r>
        <w:rPr>
          <w:rFonts w:ascii="Times New Roman" w:hAnsi="Times New Roman" w:cs="Times New Roman"/>
        </w:rPr>
        <w:t xml:space="preserve">Examples of how these might be fulfilled include: </w:t>
      </w:r>
    </w:p>
    <w:p w14:paraId="0786EECB" w14:textId="696911FB" w:rsidR="00426420" w:rsidRDefault="00426420" w:rsidP="00426420">
      <w:pPr>
        <w:pStyle w:val="ListParagraph"/>
        <w:numPr>
          <w:ilvl w:val="0"/>
          <w:numId w:val="4"/>
        </w:numPr>
        <w:spacing w:line="360" w:lineRule="auto"/>
        <w:rPr>
          <w:rFonts w:ascii="Times New Roman" w:hAnsi="Times New Roman" w:cs="Times New Roman"/>
        </w:rPr>
      </w:pPr>
      <w:r>
        <w:rPr>
          <w:rFonts w:ascii="Times New Roman" w:hAnsi="Times New Roman" w:cs="Times New Roman"/>
        </w:rPr>
        <w:t>Continued growth in teaching style and approach, responding to the evolving needs of our students</w:t>
      </w:r>
    </w:p>
    <w:p w14:paraId="7EE3CB48" w14:textId="510F5671" w:rsidR="00426420" w:rsidRDefault="00426420" w:rsidP="00426420">
      <w:pPr>
        <w:pStyle w:val="ListParagraph"/>
        <w:numPr>
          <w:ilvl w:val="0"/>
          <w:numId w:val="4"/>
        </w:numPr>
        <w:spacing w:line="360" w:lineRule="auto"/>
        <w:rPr>
          <w:rFonts w:ascii="Times New Roman" w:hAnsi="Times New Roman" w:cs="Times New Roman"/>
        </w:rPr>
      </w:pPr>
      <w:r>
        <w:rPr>
          <w:rFonts w:ascii="Times New Roman" w:hAnsi="Times New Roman" w:cs="Times New Roman"/>
        </w:rPr>
        <w:t>Evidence of continued course revision in response to student and colleague feedback</w:t>
      </w:r>
    </w:p>
    <w:p w14:paraId="5474046B" w14:textId="6D3E92AF" w:rsidR="00426420" w:rsidRPr="00426420" w:rsidRDefault="00426420" w:rsidP="00426420">
      <w:pPr>
        <w:pStyle w:val="ListParagraph"/>
        <w:numPr>
          <w:ilvl w:val="0"/>
          <w:numId w:val="4"/>
        </w:numPr>
        <w:spacing w:line="360" w:lineRule="auto"/>
        <w:rPr>
          <w:rFonts w:ascii="Times New Roman" w:hAnsi="Times New Roman" w:cs="Times New Roman"/>
        </w:rPr>
      </w:pPr>
      <w:r>
        <w:rPr>
          <w:rFonts w:ascii="Times New Roman" w:hAnsi="Times New Roman" w:cs="Times New Roman"/>
        </w:rPr>
        <w:lastRenderedPageBreak/>
        <w:t>Engagement with colleagues – either at Linfield or elsewhere – for the purposes of continuous pedagogical advancement</w:t>
      </w:r>
    </w:p>
    <w:p w14:paraId="45490001" w14:textId="29C07FE4" w:rsidR="008773A6" w:rsidRDefault="008773A6" w:rsidP="00B731DB">
      <w:pPr>
        <w:spacing w:line="360" w:lineRule="auto"/>
        <w:rPr>
          <w:rFonts w:ascii="Times New Roman" w:hAnsi="Times New Roman" w:cs="Times New Roman"/>
        </w:rPr>
      </w:pPr>
      <w:r w:rsidRPr="00B731DB">
        <w:rPr>
          <w:rFonts w:ascii="Times New Roman" w:hAnsi="Times New Roman" w:cs="Times New Roman"/>
        </w:rPr>
        <w:t xml:space="preserve">Advising </w:t>
      </w:r>
      <w:r w:rsidR="00F02306" w:rsidRPr="00B731DB">
        <w:rPr>
          <w:rFonts w:ascii="Times New Roman" w:hAnsi="Times New Roman" w:cs="Times New Roman"/>
        </w:rPr>
        <w:t xml:space="preserve">and mentoring </w:t>
      </w:r>
      <w:r w:rsidRPr="00B731DB">
        <w:rPr>
          <w:rFonts w:ascii="Times New Roman" w:hAnsi="Times New Roman" w:cs="Times New Roman"/>
        </w:rPr>
        <w:t xml:space="preserve">students is a central activity in the physics department and contributes positively to the experience of our students. Physics faculty are expected to </w:t>
      </w:r>
      <w:r w:rsidR="00B156FA">
        <w:rPr>
          <w:rFonts w:ascii="Times New Roman" w:hAnsi="Times New Roman" w:cs="Times New Roman"/>
        </w:rPr>
        <w:t>regularly offer courses appropriate for advising (labeled ADV)</w:t>
      </w:r>
      <w:r w:rsidRPr="00B731DB">
        <w:rPr>
          <w:rFonts w:ascii="Times New Roman" w:hAnsi="Times New Roman" w:cs="Times New Roman"/>
        </w:rPr>
        <w:t xml:space="preserve">, </w:t>
      </w:r>
      <w:r w:rsidR="005A195C" w:rsidRPr="00B731DB">
        <w:rPr>
          <w:rFonts w:ascii="Times New Roman" w:hAnsi="Times New Roman" w:cs="Times New Roman"/>
        </w:rPr>
        <w:t>to</w:t>
      </w:r>
      <w:r w:rsidRPr="00B731DB">
        <w:rPr>
          <w:rFonts w:ascii="Times New Roman" w:hAnsi="Times New Roman" w:cs="Times New Roman"/>
        </w:rPr>
        <w:t xml:space="preserve"> promote sufficient and close attention to advisees throughout </w:t>
      </w:r>
      <w:r w:rsidR="003E7401" w:rsidRPr="00B731DB">
        <w:rPr>
          <w:rFonts w:ascii="Times New Roman" w:hAnsi="Times New Roman" w:cs="Times New Roman"/>
        </w:rPr>
        <w:t xml:space="preserve">their years in the department. Thoughtful mentoring of student teaching assistants encourages students to recognize the role between teaching and learning. </w:t>
      </w:r>
    </w:p>
    <w:p w14:paraId="1C6C004A" w14:textId="1A79BA5D" w:rsidR="00EE64AE" w:rsidRPr="00111BA5" w:rsidRDefault="00EE64AE" w:rsidP="00EE64AE">
      <w:pPr>
        <w:spacing w:line="240" w:lineRule="auto"/>
        <w:rPr>
          <w:rFonts w:ascii="Times New Roman" w:hAnsi="Times New Roman" w:cs="Times New Roman"/>
          <w:bCs/>
          <w:iCs/>
        </w:rPr>
      </w:pPr>
      <w:r w:rsidRPr="00111BA5">
        <w:rPr>
          <w:rFonts w:ascii="Times New Roman" w:hAnsi="Times New Roman" w:cs="Times New Roman"/>
          <w:bCs/>
          <w:iCs/>
        </w:rPr>
        <w:t xml:space="preserve">Lower Tier evidence of </w:t>
      </w:r>
      <w:r>
        <w:rPr>
          <w:rFonts w:ascii="Times New Roman" w:hAnsi="Times New Roman" w:cs="Times New Roman"/>
          <w:bCs/>
          <w:iCs/>
        </w:rPr>
        <w:t>Teaching Effectiveness</w:t>
      </w:r>
    </w:p>
    <w:p w14:paraId="7653C616" w14:textId="70F03AD9" w:rsidR="00EE64AE" w:rsidRDefault="00EE64AE" w:rsidP="00EE64AE">
      <w:pPr>
        <w:pStyle w:val="ListParagraph"/>
        <w:numPr>
          <w:ilvl w:val="0"/>
          <w:numId w:val="5"/>
        </w:numPr>
        <w:spacing w:line="240" w:lineRule="auto"/>
        <w:rPr>
          <w:rFonts w:ascii="Times New Roman" w:hAnsi="Times New Roman" w:cs="Times New Roman"/>
          <w:bCs/>
          <w:iCs/>
        </w:rPr>
      </w:pPr>
      <w:r>
        <w:rPr>
          <w:rFonts w:ascii="Times New Roman" w:hAnsi="Times New Roman" w:cs="Times New Roman"/>
          <w:bCs/>
          <w:iCs/>
        </w:rPr>
        <w:t>Contribution to courses of the Department, as needed</w:t>
      </w:r>
    </w:p>
    <w:p w14:paraId="4B0E87F9" w14:textId="54CDDD6D" w:rsidR="00EE64AE" w:rsidRDefault="00EE64AE" w:rsidP="00EE64AE">
      <w:pPr>
        <w:pStyle w:val="ListParagraph"/>
        <w:numPr>
          <w:ilvl w:val="0"/>
          <w:numId w:val="5"/>
        </w:numPr>
        <w:spacing w:line="240" w:lineRule="auto"/>
        <w:rPr>
          <w:rFonts w:ascii="Times New Roman" w:hAnsi="Times New Roman" w:cs="Times New Roman"/>
          <w:bCs/>
          <w:iCs/>
        </w:rPr>
      </w:pPr>
      <w:r>
        <w:rPr>
          <w:rFonts w:ascii="Times New Roman" w:hAnsi="Times New Roman" w:cs="Times New Roman"/>
          <w:bCs/>
          <w:iCs/>
        </w:rPr>
        <w:t>Participation in/ contribution to laboratory sections of courses</w:t>
      </w:r>
    </w:p>
    <w:p w14:paraId="78B478BC" w14:textId="547E2696" w:rsidR="00EE64AE" w:rsidRDefault="00EE64AE" w:rsidP="00EE64AE">
      <w:pPr>
        <w:pStyle w:val="ListParagraph"/>
        <w:numPr>
          <w:ilvl w:val="0"/>
          <w:numId w:val="5"/>
        </w:numPr>
        <w:spacing w:line="240" w:lineRule="auto"/>
        <w:rPr>
          <w:rFonts w:ascii="Times New Roman" w:hAnsi="Times New Roman" w:cs="Times New Roman"/>
          <w:bCs/>
          <w:iCs/>
        </w:rPr>
      </w:pPr>
      <w:r>
        <w:rPr>
          <w:rFonts w:ascii="Times New Roman" w:hAnsi="Times New Roman" w:cs="Times New Roman"/>
          <w:bCs/>
          <w:iCs/>
        </w:rPr>
        <w:t>Documentation of advising activities, including general career counseling</w:t>
      </w:r>
    </w:p>
    <w:p w14:paraId="069B196B" w14:textId="4AEF40E0" w:rsidR="00EE64AE" w:rsidRDefault="00EE64AE" w:rsidP="00EE64AE">
      <w:pPr>
        <w:spacing w:line="240" w:lineRule="auto"/>
        <w:rPr>
          <w:rFonts w:ascii="Times New Roman" w:hAnsi="Times New Roman" w:cs="Times New Roman"/>
          <w:bCs/>
          <w:iCs/>
        </w:rPr>
      </w:pPr>
      <w:r>
        <w:rPr>
          <w:rFonts w:ascii="Times New Roman" w:hAnsi="Times New Roman" w:cs="Times New Roman"/>
          <w:bCs/>
          <w:iCs/>
        </w:rPr>
        <w:t>Middle Tier Teaching Effectiveness</w:t>
      </w:r>
    </w:p>
    <w:p w14:paraId="5798A8F7" w14:textId="5EB9E0EA" w:rsidR="00EE64AE" w:rsidRDefault="00B07B16" w:rsidP="00EE64AE">
      <w:pPr>
        <w:pStyle w:val="ListParagraph"/>
        <w:numPr>
          <w:ilvl w:val="0"/>
          <w:numId w:val="15"/>
        </w:numPr>
        <w:spacing w:line="240" w:lineRule="auto"/>
        <w:rPr>
          <w:rFonts w:ascii="Times New Roman" w:hAnsi="Times New Roman" w:cs="Times New Roman"/>
          <w:bCs/>
          <w:iCs/>
        </w:rPr>
      </w:pPr>
      <w:r>
        <w:rPr>
          <w:rFonts w:ascii="Times New Roman" w:hAnsi="Times New Roman" w:cs="Times New Roman"/>
          <w:bCs/>
          <w:iCs/>
        </w:rPr>
        <w:t>Integration of laboratory sections of courses</w:t>
      </w:r>
    </w:p>
    <w:p w14:paraId="1BF65D48" w14:textId="5399EC7A" w:rsidR="00B07B16" w:rsidRDefault="00B07B16" w:rsidP="00EE64AE">
      <w:pPr>
        <w:pStyle w:val="ListParagraph"/>
        <w:numPr>
          <w:ilvl w:val="0"/>
          <w:numId w:val="15"/>
        </w:numPr>
        <w:spacing w:line="240" w:lineRule="auto"/>
        <w:rPr>
          <w:rFonts w:ascii="Times New Roman" w:hAnsi="Times New Roman" w:cs="Times New Roman"/>
          <w:bCs/>
          <w:iCs/>
        </w:rPr>
      </w:pPr>
      <w:r>
        <w:rPr>
          <w:rFonts w:ascii="Times New Roman" w:hAnsi="Times New Roman" w:cs="Times New Roman"/>
          <w:bCs/>
          <w:iCs/>
        </w:rPr>
        <w:t>Development and implementation of new laboratory and/or lecture materials for existing courses</w:t>
      </w:r>
    </w:p>
    <w:p w14:paraId="5311D64B" w14:textId="31334B63" w:rsidR="00B07B16" w:rsidRDefault="00B07B16" w:rsidP="00EE64AE">
      <w:pPr>
        <w:pStyle w:val="ListParagraph"/>
        <w:numPr>
          <w:ilvl w:val="0"/>
          <w:numId w:val="15"/>
        </w:numPr>
        <w:spacing w:line="240" w:lineRule="auto"/>
        <w:rPr>
          <w:rFonts w:ascii="Times New Roman" w:hAnsi="Times New Roman" w:cs="Times New Roman"/>
          <w:bCs/>
          <w:iCs/>
        </w:rPr>
      </w:pPr>
      <w:r>
        <w:rPr>
          <w:rFonts w:ascii="Times New Roman" w:hAnsi="Times New Roman" w:cs="Times New Roman"/>
          <w:bCs/>
          <w:iCs/>
        </w:rPr>
        <w:t>Participation in pedagogical workshops and/or conferences (at Linfield or elsewhere)</w:t>
      </w:r>
    </w:p>
    <w:p w14:paraId="17DFE1D8" w14:textId="06BC139E" w:rsidR="00B07B16" w:rsidRDefault="00B07B16" w:rsidP="00EE64AE">
      <w:pPr>
        <w:pStyle w:val="ListParagraph"/>
        <w:numPr>
          <w:ilvl w:val="0"/>
          <w:numId w:val="15"/>
        </w:numPr>
        <w:spacing w:line="240" w:lineRule="auto"/>
        <w:rPr>
          <w:rFonts w:ascii="Times New Roman" w:hAnsi="Times New Roman" w:cs="Times New Roman"/>
          <w:bCs/>
          <w:iCs/>
        </w:rPr>
      </w:pPr>
      <w:r>
        <w:rPr>
          <w:rFonts w:ascii="Times New Roman" w:hAnsi="Times New Roman" w:cs="Times New Roman"/>
          <w:bCs/>
          <w:iCs/>
        </w:rPr>
        <w:t>Involvement with the Society of Physics Students and Linfield’s chapter of ΣΠΣ</w:t>
      </w:r>
    </w:p>
    <w:p w14:paraId="78494147" w14:textId="25859269" w:rsidR="00B07B16" w:rsidRDefault="00B07B16" w:rsidP="00EE64AE">
      <w:pPr>
        <w:pStyle w:val="ListParagraph"/>
        <w:numPr>
          <w:ilvl w:val="0"/>
          <w:numId w:val="15"/>
        </w:numPr>
        <w:spacing w:line="240" w:lineRule="auto"/>
        <w:rPr>
          <w:rFonts w:ascii="Times New Roman" w:hAnsi="Times New Roman" w:cs="Times New Roman"/>
          <w:bCs/>
          <w:iCs/>
        </w:rPr>
      </w:pPr>
      <w:r>
        <w:rPr>
          <w:rFonts w:ascii="Times New Roman" w:hAnsi="Times New Roman" w:cs="Times New Roman"/>
          <w:bCs/>
          <w:iCs/>
        </w:rPr>
        <w:t>Supervision of independent study courses</w:t>
      </w:r>
    </w:p>
    <w:p w14:paraId="104E926D" w14:textId="30F8C4F5" w:rsidR="00B07B16" w:rsidRDefault="00B07B16" w:rsidP="00B07B16">
      <w:pPr>
        <w:spacing w:line="240" w:lineRule="auto"/>
        <w:rPr>
          <w:rFonts w:ascii="Times New Roman" w:hAnsi="Times New Roman" w:cs="Times New Roman"/>
          <w:bCs/>
          <w:iCs/>
        </w:rPr>
      </w:pPr>
      <w:r>
        <w:rPr>
          <w:rFonts w:ascii="Times New Roman" w:hAnsi="Times New Roman" w:cs="Times New Roman"/>
          <w:bCs/>
          <w:iCs/>
        </w:rPr>
        <w:t>Higher Tier Teaching Effectiveness</w:t>
      </w:r>
    </w:p>
    <w:p w14:paraId="52A8B9D4" w14:textId="2BBF8DA3" w:rsidR="00B07B16" w:rsidRDefault="00B07B16" w:rsidP="00B07B16">
      <w:pPr>
        <w:pStyle w:val="ListParagraph"/>
        <w:numPr>
          <w:ilvl w:val="0"/>
          <w:numId w:val="16"/>
        </w:numPr>
        <w:spacing w:line="240" w:lineRule="auto"/>
        <w:rPr>
          <w:rFonts w:ascii="Times New Roman" w:hAnsi="Times New Roman" w:cs="Times New Roman"/>
          <w:bCs/>
          <w:iCs/>
        </w:rPr>
      </w:pPr>
      <w:r>
        <w:rPr>
          <w:rFonts w:ascii="Times New Roman" w:hAnsi="Times New Roman" w:cs="Times New Roman"/>
          <w:bCs/>
          <w:iCs/>
        </w:rPr>
        <w:t>Reception of internal or external recognition of teaching excellence (i.e. teaching awards or other recognition)</w:t>
      </w:r>
    </w:p>
    <w:p w14:paraId="6EA970B1" w14:textId="4207BD58" w:rsidR="00B07B16" w:rsidRDefault="00B07B16" w:rsidP="00B07B16">
      <w:pPr>
        <w:pStyle w:val="ListParagraph"/>
        <w:numPr>
          <w:ilvl w:val="0"/>
          <w:numId w:val="16"/>
        </w:numPr>
        <w:spacing w:line="240" w:lineRule="auto"/>
        <w:rPr>
          <w:rFonts w:ascii="Times New Roman" w:hAnsi="Times New Roman" w:cs="Times New Roman"/>
          <w:bCs/>
          <w:iCs/>
        </w:rPr>
      </w:pPr>
      <w:r>
        <w:rPr>
          <w:rFonts w:ascii="Times New Roman" w:hAnsi="Times New Roman" w:cs="Times New Roman"/>
          <w:bCs/>
          <w:iCs/>
        </w:rPr>
        <w:t>Significant contribution to the Physics and Applied Physics majors, such as implementing new requirements</w:t>
      </w:r>
    </w:p>
    <w:p w14:paraId="3DF7B43B" w14:textId="3A2C33B1" w:rsidR="00B07B16" w:rsidRDefault="00B07B16" w:rsidP="00B07B16">
      <w:pPr>
        <w:pStyle w:val="ListParagraph"/>
        <w:numPr>
          <w:ilvl w:val="0"/>
          <w:numId w:val="16"/>
        </w:numPr>
        <w:spacing w:line="240" w:lineRule="auto"/>
        <w:rPr>
          <w:rFonts w:ascii="Times New Roman" w:hAnsi="Times New Roman" w:cs="Times New Roman"/>
          <w:bCs/>
          <w:iCs/>
        </w:rPr>
      </w:pPr>
      <w:r>
        <w:rPr>
          <w:rFonts w:ascii="Times New Roman" w:hAnsi="Times New Roman" w:cs="Times New Roman"/>
          <w:bCs/>
          <w:iCs/>
        </w:rPr>
        <w:t>Development of new courses, including study abroad and INQS courses</w:t>
      </w:r>
    </w:p>
    <w:p w14:paraId="4CC7EFAE" w14:textId="6F2322D8" w:rsidR="00B07B16" w:rsidRPr="00B07B16" w:rsidRDefault="00B07B16" w:rsidP="00B07B16">
      <w:pPr>
        <w:pStyle w:val="ListParagraph"/>
        <w:numPr>
          <w:ilvl w:val="0"/>
          <w:numId w:val="16"/>
        </w:numPr>
        <w:spacing w:line="240" w:lineRule="auto"/>
        <w:rPr>
          <w:rFonts w:ascii="Times New Roman" w:hAnsi="Times New Roman" w:cs="Times New Roman"/>
          <w:bCs/>
          <w:iCs/>
        </w:rPr>
      </w:pPr>
      <w:r>
        <w:rPr>
          <w:rFonts w:ascii="Times New Roman" w:hAnsi="Times New Roman" w:cs="Times New Roman"/>
          <w:bCs/>
          <w:iCs/>
        </w:rPr>
        <w:t>Significantly updating/revising courses within the major in order to keep material and pedagogical approaches relevant</w:t>
      </w:r>
    </w:p>
    <w:p w14:paraId="58F725A5" w14:textId="77777777" w:rsidR="00EE64AE" w:rsidRPr="00B731DB" w:rsidRDefault="00EE64AE" w:rsidP="00B731DB">
      <w:pPr>
        <w:spacing w:line="360" w:lineRule="auto"/>
        <w:rPr>
          <w:rFonts w:ascii="Times New Roman" w:hAnsi="Times New Roman" w:cs="Times New Roman"/>
        </w:rPr>
      </w:pPr>
    </w:p>
    <w:p w14:paraId="6DBA0AA3" w14:textId="31FC9E99" w:rsidR="00BE206F" w:rsidRDefault="00BE206F" w:rsidP="00B731DB">
      <w:pPr>
        <w:spacing w:line="360" w:lineRule="auto"/>
        <w:rPr>
          <w:rFonts w:ascii="Times New Roman" w:hAnsi="Times New Roman" w:cs="Times New Roman"/>
        </w:rPr>
      </w:pPr>
      <w:r w:rsidRPr="00B731DB">
        <w:rPr>
          <w:rFonts w:ascii="Times New Roman" w:hAnsi="Times New Roman" w:cs="Times New Roman"/>
          <w:b/>
          <w:i/>
        </w:rPr>
        <w:t>Tenure/Promotion to Associate Professor</w:t>
      </w:r>
      <w:r w:rsidRPr="00B731DB">
        <w:rPr>
          <w:rFonts w:ascii="Times New Roman" w:hAnsi="Times New Roman" w:cs="Times New Roman"/>
          <w:i/>
        </w:rPr>
        <w:t>:</w:t>
      </w:r>
      <w:r w:rsidRPr="00B731DB">
        <w:rPr>
          <w:rFonts w:ascii="Times New Roman" w:hAnsi="Times New Roman" w:cs="Times New Roman"/>
        </w:rPr>
        <w:t xml:space="preserve"> Faculty </w:t>
      </w:r>
      <w:r w:rsidR="009028BA">
        <w:rPr>
          <w:rFonts w:ascii="Times New Roman" w:hAnsi="Times New Roman" w:cs="Times New Roman"/>
        </w:rPr>
        <w:t xml:space="preserve">seeking tenure and status of associate professor </w:t>
      </w:r>
      <w:r w:rsidRPr="00B731DB">
        <w:rPr>
          <w:rFonts w:ascii="Times New Roman" w:hAnsi="Times New Roman" w:cs="Times New Roman"/>
        </w:rPr>
        <w:t>should provide</w:t>
      </w:r>
      <w:r w:rsidR="0011458E" w:rsidRPr="00B731DB">
        <w:rPr>
          <w:rFonts w:ascii="Times New Roman" w:hAnsi="Times New Roman" w:cs="Times New Roman"/>
        </w:rPr>
        <w:t xml:space="preserve"> evidence of </w:t>
      </w:r>
      <w:r w:rsidR="00D63090" w:rsidRPr="00B731DB">
        <w:rPr>
          <w:rFonts w:ascii="Times New Roman" w:hAnsi="Times New Roman" w:cs="Times New Roman"/>
        </w:rPr>
        <w:t>meeting the criteria described above</w:t>
      </w:r>
      <w:r w:rsidR="005A195C" w:rsidRPr="00B731DB">
        <w:rPr>
          <w:rFonts w:ascii="Times New Roman" w:hAnsi="Times New Roman" w:cs="Times New Roman"/>
        </w:rPr>
        <w:t>.</w:t>
      </w:r>
      <w:r w:rsidR="005A195C">
        <w:rPr>
          <w:rFonts w:ascii="Times New Roman" w:hAnsi="Times New Roman" w:cs="Times New Roman"/>
        </w:rPr>
        <w:t xml:space="preserve"> </w:t>
      </w:r>
      <w:r w:rsidR="009028BA">
        <w:rPr>
          <w:rFonts w:ascii="Times New Roman" w:hAnsi="Times New Roman" w:cs="Times New Roman"/>
        </w:rPr>
        <w:t>Through student evaluations, colleague evaluations, and a self-appraisal, a faculty member must demonstrate a thoughtful approach to their teaching</w:t>
      </w:r>
      <w:r w:rsidR="00B13606">
        <w:rPr>
          <w:rFonts w:ascii="Times New Roman" w:hAnsi="Times New Roman" w:cs="Times New Roman"/>
        </w:rPr>
        <w:t xml:space="preserve"> and advising</w:t>
      </w:r>
      <w:r w:rsidR="005A195C">
        <w:rPr>
          <w:rFonts w:ascii="Times New Roman" w:hAnsi="Times New Roman" w:cs="Times New Roman"/>
        </w:rPr>
        <w:t xml:space="preserve">. </w:t>
      </w:r>
      <w:r w:rsidR="00B13606" w:rsidRPr="00B731DB">
        <w:rPr>
          <w:rFonts w:ascii="Times New Roman" w:hAnsi="Times New Roman" w:cs="Times New Roman"/>
        </w:rPr>
        <w:t>Specific examples of improvement should be given as well as a development of a mature teaching philosophy</w:t>
      </w:r>
      <w:r w:rsidR="005A195C" w:rsidRPr="00B731DB">
        <w:rPr>
          <w:rFonts w:ascii="Times New Roman" w:hAnsi="Times New Roman" w:cs="Times New Roman"/>
        </w:rPr>
        <w:t>.</w:t>
      </w:r>
      <w:r w:rsidR="005A195C">
        <w:rPr>
          <w:rFonts w:ascii="Times New Roman" w:hAnsi="Times New Roman" w:cs="Times New Roman"/>
        </w:rPr>
        <w:t xml:space="preserve"> </w:t>
      </w:r>
      <w:r w:rsidR="009028BA">
        <w:rPr>
          <w:rFonts w:ascii="Times New Roman" w:hAnsi="Times New Roman" w:cs="Times New Roman"/>
        </w:rPr>
        <w:t>Although not all student evaluations must be positive, persistent challenges should be addressed in the narrative</w:t>
      </w:r>
      <w:r w:rsidR="005A195C">
        <w:rPr>
          <w:rFonts w:ascii="Times New Roman" w:hAnsi="Times New Roman" w:cs="Times New Roman"/>
        </w:rPr>
        <w:t xml:space="preserve">. </w:t>
      </w:r>
      <w:r w:rsidR="009028BA">
        <w:rPr>
          <w:rFonts w:ascii="Times New Roman" w:hAnsi="Times New Roman" w:cs="Times New Roman"/>
        </w:rPr>
        <w:t>We recognize, in particular, that some comments seen as ‘negative’ by students may, in fact, be part of an overall effective approach taken by the instructor</w:t>
      </w:r>
      <w:r w:rsidR="005A195C">
        <w:rPr>
          <w:rFonts w:ascii="Times New Roman" w:hAnsi="Times New Roman" w:cs="Times New Roman"/>
        </w:rPr>
        <w:t xml:space="preserve">. </w:t>
      </w:r>
      <w:r w:rsidR="00B13606">
        <w:rPr>
          <w:rFonts w:ascii="Times New Roman" w:hAnsi="Times New Roman" w:cs="Times New Roman"/>
        </w:rPr>
        <w:t>Colleagues and candidates for promotion and tenure will provide context for such comments in their appraisals.</w:t>
      </w:r>
      <w:r w:rsidR="00943305" w:rsidRPr="00B731DB">
        <w:rPr>
          <w:rFonts w:ascii="Times New Roman" w:hAnsi="Times New Roman" w:cs="Times New Roman"/>
        </w:rPr>
        <w:t xml:space="preserve"> </w:t>
      </w:r>
    </w:p>
    <w:p w14:paraId="435D1D3D" w14:textId="245FD1FA" w:rsidR="00B07B16" w:rsidRPr="00B731DB" w:rsidRDefault="00B07B16" w:rsidP="00B731DB">
      <w:pPr>
        <w:spacing w:line="360" w:lineRule="auto"/>
        <w:rPr>
          <w:rFonts w:ascii="Times New Roman" w:hAnsi="Times New Roman" w:cs="Times New Roman"/>
        </w:rPr>
      </w:pPr>
      <w:r>
        <w:rPr>
          <w:rFonts w:ascii="Times New Roman" w:hAnsi="Times New Roman" w:cs="Times New Roman"/>
        </w:rPr>
        <w:lastRenderedPageBreak/>
        <w:t xml:space="preserve">They will fulfill the Lower Tier Teaching Effectiveness standards and show progress towards Middle Tier and Higher Tier Teaching Standards.  Note that the lists of exemplars serve only as a representative list of ways in which a candidate may meet each tier.  </w:t>
      </w:r>
      <w:r w:rsidR="00C867A1">
        <w:rPr>
          <w:rFonts w:ascii="Times New Roman" w:hAnsi="Times New Roman" w:cs="Times New Roman"/>
        </w:rPr>
        <w:t>Items within a tier are not ranked, and the list is not a comprehensive checklist on which every item must be met.</w:t>
      </w:r>
    </w:p>
    <w:p w14:paraId="7BADB52B" w14:textId="0EFC110F" w:rsidR="0011458E" w:rsidRPr="00B731DB" w:rsidRDefault="00BE206F" w:rsidP="00B731DB">
      <w:pPr>
        <w:spacing w:line="360" w:lineRule="auto"/>
        <w:rPr>
          <w:rFonts w:ascii="Times New Roman" w:hAnsi="Times New Roman" w:cs="Times New Roman"/>
        </w:rPr>
      </w:pPr>
      <w:r w:rsidRPr="00B731DB">
        <w:rPr>
          <w:rFonts w:ascii="Times New Roman" w:hAnsi="Times New Roman" w:cs="Times New Roman"/>
          <w:b/>
          <w:i/>
        </w:rPr>
        <w:t>Promotion to Full Professor</w:t>
      </w:r>
      <w:r w:rsidRPr="00B731DB">
        <w:rPr>
          <w:rFonts w:ascii="Times New Roman" w:hAnsi="Times New Roman" w:cs="Times New Roman"/>
          <w:i/>
        </w:rPr>
        <w:t>:</w:t>
      </w:r>
      <w:r w:rsidRPr="00B731DB">
        <w:rPr>
          <w:rFonts w:ascii="Times New Roman" w:hAnsi="Times New Roman" w:cs="Times New Roman"/>
        </w:rPr>
        <w:t xml:space="preserve"> Faculty at this level should </w:t>
      </w:r>
      <w:r w:rsidR="00C867A1">
        <w:rPr>
          <w:rFonts w:ascii="Times New Roman" w:hAnsi="Times New Roman" w:cs="Times New Roman"/>
        </w:rPr>
        <w:t>demonstrate special merit and continued growt</w:t>
      </w:r>
      <w:r w:rsidR="00B13606">
        <w:rPr>
          <w:rFonts w:ascii="Times New Roman" w:hAnsi="Times New Roman" w:cs="Times New Roman"/>
        </w:rPr>
        <w:t>h in t</w:t>
      </w:r>
      <w:r w:rsidRPr="00B731DB">
        <w:rPr>
          <w:rFonts w:ascii="Times New Roman" w:hAnsi="Times New Roman" w:cs="Times New Roman"/>
        </w:rPr>
        <w:t>heir teaching effectiveness</w:t>
      </w:r>
      <w:r w:rsidR="005A195C">
        <w:rPr>
          <w:rFonts w:ascii="Times New Roman" w:hAnsi="Times New Roman" w:cs="Times New Roman"/>
        </w:rPr>
        <w:t xml:space="preserve">. </w:t>
      </w:r>
      <w:r w:rsidR="007F682B">
        <w:rPr>
          <w:rFonts w:ascii="Times New Roman" w:hAnsi="Times New Roman" w:cs="Times New Roman"/>
        </w:rPr>
        <w:t xml:space="preserve">They will fulfill the Lower and Middle Tiers of Teaching </w:t>
      </w:r>
      <w:r w:rsidR="001142E9">
        <w:rPr>
          <w:rFonts w:ascii="Times New Roman" w:hAnsi="Times New Roman" w:cs="Times New Roman"/>
        </w:rPr>
        <w:t xml:space="preserve">Effectiveness </w:t>
      </w:r>
      <w:r w:rsidR="007F682B">
        <w:rPr>
          <w:rFonts w:ascii="Times New Roman" w:hAnsi="Times New Roman" w:cs="Times New Roman"/>
        </w:rPr>
        <w:t xml:space="preserve">and demonstrate progress toward fulfilling the Higher Tier.  </w:t>
      </w:r>
    </w:p>
    <w:p w14:paraId="3A732441" w14:textId="77777777" w:rsidR="003E7401" w:rsidRPr="00B731DB" w:rsidRDefault="003E7401" w:rsidP="00B731DB">
      <w:pPr>
        <w:pStyle w:val="Subtitle"/>
        <w:spacing w:line="360" w:lineRule="auto"/>
        <w:rPr>
          <w:rFonts w:ascii="Times New Roman" w:hAnsi="Times New Roman" w:cs="Times New Roman"/>
          <w:b/>
          <w:color w:val="auto"/>
        </w:rPr>
      </w:pPr>
    </w:p>
    <w:p w14:paraId="520C3F56" w14:textId="77777777" w:rsidR="0011458E" w:rsidRPr="00B731DB" w:rsidRDefault="0011458E" w:rsidP="00B731DB">
      <w:pPr>
        <w:pStyle w:val="Subtitle"/>
        <w:spacing w:line="360" w:lineRule="auto"/>
        <w:rPr>
          <w:rFonts w:ascii="Times New Roman" w:hAnsi="Times New Roman" w:cs="Times New Roman"/>
          <w:b/>
          <w:color w:val="auto"/>
        </w:rPr>
      </w:pPr>
      <w:r w:rsidRPr="00B731DB">
        <w:rPr>
          <w:rFonts w:ascii="Times New Roman" w:hAnsi="Times New Roman" w:cs="Times New Roman"/>
          <w:b/>
          <w:color w:val="auto"/>
        </w:rPr>
        <w:t>Professional Achievement</w:t>
      </w:r>
    </w:p>
    <w:p w14:paraId="162D4F2A" w14:textId="17868389" w:rsidR="00FA1D43" w:rsidRDefault="00FA1D43" w:rsidP="00B731DB">
      <w:pPr>
        <w:spacing w:line="360" w:lineRule="auto"/>
        <w:rPr>
          <w:rFonts w:ascii="Times New Roman" w:hAnsi="Times New Roman" w:cs="Times New Roman"/>
        </w:rPr>
      </w:pPr>
      <w:r>
        <w:rPr>
          <w:rFonts w:ascii="Times New Roman" w:hAnsi="Times New Roman" w:cs="Times New Roman"/>
        </w:rPr>
        <w:t xml:space="preserve">The faculty in the Physics Department </w:t>
      </w:r>
      <w:r w:rsidR="00D732CB" w:rsidRPr="00B731DB">
        <w:rPr>
          <w:rFonts w:ascii="Times New Roman" w:hAnsi="Times New Roman" w:cs="Times New Roman"/>
        </w:rPr>
        <w:t>are expected to develop their unique professional identities</w:t>
      </w:r>
      <w:r w:rsidR="00D732CB">
        <w:rPr>
          <w:rFonts w:ascii="Times New Roman" w:hAnsi="Times New Roman" w:cs="Times New Roman"/>
        </w:rPr>
        <w:t xml:space="preserve"> through working </w:t>
      </w:r>
      <w:r>
        <w:rPr>
          <w:rFonts w:ascii="Times New Roman" w:hAnsi="Times New Roman" w:cs="Times New Roman"/>
        </w:rPr>
        <w:t>in two broad fronts: 1) a record of individual professional scholarship arising from the candidate’s expertise in a scientific field, and 2) evidence that students are incorporated and benefiting from a colleague’s research program</w:t>
      </w:r>
      <w:r w:rsidR="005A195C">
        <w:rPr>
          <w:rFonts w:ascii="Times New Roman" w:hAnsi="Times New Roman" w:cs="Times New Roman"/>
        </w:rPr>
        <w:t xml:space="preserve">. </w:t>
      </w:r>
      <w:r>
        <w:rPr>
          <w:rFonts w:ascii="Times New Roman" w:hAnsi="Times New Roman" w:cs="Times New Roman"/>
        </w:rPr>
        <w:t xml:space="preserve">Achievement must be demonstrated in both areas; outstanding achievement in one category will not take the place of an absence </w:t>
      </w:r>
      <w:r w:rsidR="00D2393E">
        <w:rPr>
          <w:rFonts w:ascii="Times New Roman" w:hAnsi="Times New Roman" w:cs="Times New Roman"/>
        </w:rPr>
        <w:t>of activity in the other</w:t>
      </w:r>
      <w:r w:rsidR="005A195C">
        <w:rPr>
          <w:rFonts w:ascii="Times New Roman" w:hAnsi="Times New Roman" w:cs="Times New Roman"/>
        </w:rPr>
        <w:t xml:space="preserve">. </w:t>
      </w:r>
    </w:p>
    <w:p w14:paraId="3F4983D9" w14:textId="558D79E1" w:rsidR="00DC29E0" w:rsidRDefault="00D732CB" w:rsidP="00B731DB">
      <w:pPr>
        <w:spacing w:line="360" w:lineRule="auto"/>
        <w:rPr>
          <w:rFonts w:ascii="Times New Roman" w:hAnsi="Times New Roman" w:cs="Times New Roman"/>
        </w:rPr>
      </w:pPr>
      <w:r>
        <w:rPr>
          <w:rFonts w:ascii="Times New Roman" w:hAnsi="Times New Roman" w:cs="Times New Roman"/>
        </w:rPr>
        <w:t xml:space="preserve">Evidence of professional scholarship </w:t>
      </w:r>
      <w:r w:rsidR="000B003A">
        <w:rPr>
          <w:rFonts w:ascii="Times New Roman" w:hAnsi="Times New Roman" w:cs="Times New Roman"/>
        </w:rPr>
        <w:t>primarily comes in the form of interacting with the scientific community</w:t>
      </w:r>
      <w:r w:rsidR="005A195C">
        <w:rPr>
          <w:rFonts w:ascii="Times New Roman" w:hAnsi="Times New Roman" w:cs="Times New Roman"/>
        </w:rPr>
        <w:t xml:space="preserve">. </w:t>
      </w:r>
      <w:r w:rsidR="000B003A">
        <w:rPr>
          <w:rFonts w:ascii="Times New Roman" w:hAnsi="Times New Roman" w:cs="Times New Roman"/>
        </w:rPr>
        <w:t>This i</w:t>
      </w:r>
      <w:r w:rsidR="0011458E" w:rsidRPr="00B731DB">
        <w:rPr>
          <w:rFonts w:ascii="Times New Roman" w:hAnsi="Times New Roman" w:cs="Times New Roman"/>
        </w:rPr>
        <w:t>nteraction</w:t>
      </w:r>
      <w:r w:rsidR="000B003A">
        <w:rPr>
          <w:rFonts w:ascii="Times New Roman" w:hAnsi="Times New Roman" w:cs="Times New Roman"/>
        </w:rPr>
        <w:t xml:space="preserve"> </w:t>
      </w:r>
      <w:r w:rsidR="0011458E" w:rsidRPr="00B731DB">
        <w:rPr>
          <w:rFonts w:ascii="Times New Roman" w:hAnsi="Times New Roman" w:cs="Times New Roman"/>
        </w:rPr>
        <w:t>may take a variety of forms, of which public</w:t>
      </w:r>
      <w:r w:rsidR="005272FF" w:rsidRPr="00B731DB">
        <w:rPr>
          <w:rFonts w:ascii="Times New Roman" w:hAnsi="Times New Roman" w:cs="Times New Roman"/>
        </w:rPr>
        <w:t xml:space="preserve">ation in peer-reviewed journals, </w:t>
      </w:r>
      <w:r w:rsidR="001142E9">
        <w:rPr>
          <w:rFonts w:ascii="Times New Roman" w:hAnsi="Times New Roman" w:cs="Times New Roman"/>
        </w:rPr>
        <w:t xml:space="preserve">publication </w:t>
      </w:r>
      <w:r w:rsidR="0011458E" w:rsidRPr="00B731DB">
        <w:rPr>
          <w:rFonts w:ascii="Times New Roman" w:hAnsi="Times New Roman" w:cs="Times New Roman"/>
        </w:rPr>
        <w:t>with well</w:t>
      </w:r>
      <w:r w:rsidR="001142E9">
        <w:rPr>
          <w:rFonts w:ascii="Times New Roman" w:hAnsi="Times New Roman" w:cs="Times New Roman"/>
        </w:rPr>
        <w:t>-</w:t>
      </w:r>
      <w:r w:rsidR="0011458E" w:rsidRPr="00B731DB">
        <w:rPr>
          <w:rFonts w:ascii="Times New Roman" w:hAnsi="Times New Roman" w:cs="Times New Roman"/>
        </w:rPr>
        <w:t>established publishers of books</w:t>
      </w:r>
      <w:r w:rsidR="005272FF" w:rsidRPr="00B731DB">
        <w:rPr>
          <w:rFonts w:ascii="Times New Roman" w:hAnsi="Times New Roman" w:cs="Times New Roman"/>
        </w:rPr>
        <w:t>, or successful</w:t>
      </w:r>
      <w:r w:rsidR="001142E9">
        <w:rPr>
          <w:rFonts w:ascii="Times New Roman" w:hAnsi="Times New Roman" w:cs="Times New Roman"/>
        </w:rPr>
        <w:t xml:space="preserve">ly receiving </w:t>
      </w:r>
      <w:r w:rsidR="005272FF" w:rsidRPr="00B731DB">
        <w:rPr>
          <w:rFonts w:ascii="Times New Roman" w:hAnsi="Times New Roman" w:cs="Times New Roman"/>
        </w:rPr>
        <w:t>external grant funding are considered the most highly regarded</w:t>
      </w:r>
      <w:r w:rsidR="005A195C" w:rsidRPr="00B731DB">
        <w:rPr>
          <w:rFonts w:ascii="Times New Roman" w:hAnsi="Times New Roman" w:cs="Times New Roman"/>
        </w:rPr>
        <w:t xml:space="preserve">. </w:t>
      </w:r>
      <w:r w:rsidR="001142E9">
        <w:rPr>
          <w:rFonts w:ascii="Times New Roman" w:hAnsi="Times New Roman" w:cs="Times New Roman"/>
        </w:rPr>
        <w:t>Each of these interactions involves significant peer review by experts in the field and are the result of years of effort</w:t>
      </w:r>
      <w:r w:rsidR="005A195C">
        <w:rPr>
          <w:rFonts w:ascii="Times New Roman" w:hAnsi="Times New Roman" w:cs="Times New Roman"/>
        </w:rPr>
        <w:t xml:space="preserve">. </w:t>
      </w:r>
      <w:r w:rsidR="00340EBF">
        <w:rPr>
          <w:rFonts w:ascii="Times New Roman" w:hAnsi="Times New Roman" w:cs="Times New Roman"/>
        </w:rPr>
        <w:t>Additionally, the department considers pedagogical research and publication in the field of Scholarship of Teaching and Learning (SoTL) within a candidate’s area, or within interdisciplinary areas to be of equal status with research in a candidate’s area of physics as these journals require the same peer-review as discipline specific publications</w:t>
      </w:r>
      <w:r w:rsidR="005A195C">
        <w:rPr>
          <w:rFonts w:ascii="Times New Roman" w:hAnsi="Times New Roman" w:cs="Times New Roman"/>
        </w:rPr>
        <w:t xml:space="preserve">. </w:t>
      </w:r>
      <w:r w:rsidR="00340EBF">
        <w:rPr>
          <w:rFonts w:ascii="Times New Roman" w:hAnsi="Times New Roman" w:cs="Times New Roman"/>
        </w:rPr>
        <w:t>All peer-reviewed publications are valued as publications.</w:t>
      </w:r>
    </w:p>
    <w:p w14:paraId="64CF19A0" w14:textId="30AC58F8" w:rsidR="001142E9" w:rsidRDefault="005272FF" w:rsidP="00B731DB">
      <w:pPr>
        <w:spacing w:line="360" w:lineRule="auto"/>
        <w:rPr>
          <w:rFonts w:ascii="Times New Roman" w:hAnsi="Times New Roman" w:cs="Times New Roman"/>
        </w:rPr>
      </w:pPr>
      <w:r w:rsidRPr="00B731DB">
        <w:rPr>
          <w:rFonts w:ascii="Times New Roman" w:hAnsi="Times New Roman" w:cs="Times New Roman"/>
        </w:rPr>
        <w:t>Other interactions</w:t>
      </w:r>
      <w:r w:rsidR="00DC29E0">
        <w:rPr>
          <w:rFonts w:ascii="Times New Roman" w:hAnsi="Times New Roman" w:cs="Times New Roman"/>
        </w:rPr>
        <w:t xml:space="preserve"> with the scientific community</w:t>
      </w:r>
      <w:r w:rsidRPr="00B731DB">
        <w:rPr>
          <w:rFonts w:ascii="Times New Roman" w:hAnsi="Times New Roman" w:cs="Times New Roman"/>
        </w:rPr>
        <w:t xml:space="preserve"> could include presentations at conferences, publications in conference proceedings, presentations at disciplinary workshops, </w:t>
      </w:r>
      <w:r w:rsidR="005A195C" w:rsidRPr="00B731DB">
        <w:rPr>
          <w:rFonts w:ascii="Times New Roman" w:hAnsi="Times New Roman" w:cs="Times New Roman"/>
        </w:rPr>
        <w:t xml:space="preserve">etc. </w:t>
      </w:r>
      <w:r w:rsidR="00DC29E0">
        <w:rPr>
          <w:rFonts w:ascii="Times New Roman" w:hAnsi="Times New Roman" w:cs="Times New Roman"/>
        </w:rPr>
        <w:t>Although in some cases there is a less formal peer review process prior to these activities, appropriate conferences may provide greater opportunity for experts in the field to comment directly to the work</w:t>
      </w:r>
      <w:r w:rsidR="005A195C">
        <w:rPr>
          <w:rFonts w:ascii="Times New Roman" w:hAnsi="Times New Roman" w:cs="Times New Roman"/>
        </w:rPr>
        <w:t xml:space="preserve">. </w:t>
      </w:r>
      <w:r w:rsidR="00DC29E0">
        <w:rPr>
          <w:rFonts w:ascii="Times New Roman" w:hAnsi="Times New Roman" w:cs="Times New Roman"/>
        </w:rPr>
        <w:t>As such, the department does not distinguish between conferences based on prior peer review but instead on the scope of audience one may rea</w:t>
      </w:r>
      <w:r w:rsidR="00AE5163">
        <w:rPr>
          <w:rFonts w:ascii="Times New Roman" w:hAnsi="Times New Roman" w:cs="Times New Roman"/>
        </w:rPr>
        <w:t>sonably be expected to reach</w:t>
      </w:r>
      <w:r w:rsidR="005A195C">
        <w:rPr>
          <w:rFonts w:ascii="Times New Roman" w:hAnsi="Times New Roman" w:cs="Times New Roman"/>
        </w:rPr>
        <w:t xml:space="preserve">. </w:t>
      </w:r>
      <w:r w:rsidR="00AE5163">
        <w:rPr>
          <w:rFonts w:ascii="Times New Roman" w:hAnsi="Times New Roman" w:cs="Times New Roman"/>
        </w:rPr>
        <w:t>For instance</w:t>
      </w:r>
      <w:r w:rsidR="00DC29E0">
        <w:rPr>
          <w:rFonts w:ascii="Times New Roman" w:hAnsi="Times New Roman" w:cs="Times New Roman"/>
        </w:rPr>
        <w:t>, national conferenc</w:t>
      </w:r>
      <w:r w:rsidR="00465273">
        <w:rPr>
          <w:rFonts w:ascii="Times New Roman" w:hAnsi="Times New Roman" w:cs="Times New Roman"/>
        </w:rPr>
        <w:t>es or conferences with narrow audiences/topics may be valued more highly than regional conferences such as the NWAPS or Murdock.</w:t>
      </w:r>
    </w:p>
    <w:p w14:paraId="3D500F06" w14:textId="29EC4856" w:rsidR="005272FF" w:rsidRPr="00B731DB" w:rsidRDefault="005272FF" w:rsidP="00B731DB">
      <w:pPr>
        <w:spacing w:line="360" w:lineRule="auto"/>
        <w:rPr>
          <w:rFonts w:ascii="Times New Roman" w:hAnsi="Times New Roman" w:cs="Times New Roman"/>
        </w:rPr>
      </w:pPr>
      <w:r w:rsidRPr="00B731DB">
        <w:rPr>
          <w:rFonts w:ascii="Times New Roman" w:hAnsi="Times New Roman" w:cs="Times New Roman"/>
        </w:rPr>
        <w:lastRenderedPageBreak/>
        <w:t xml:space="preserve">Work with multiple coauthors, including students, is common in physics, and </w:t>
      </w:r>
      <w:r w:rsidR="00263311" w:rsidRPr="00B731DB">
        <w:rPr>
          <w:rFonts w:ascii="Times New Roman" w:hAnsi="Times New Roman" w:cs="Times New Roman"/>
        </w:rPr>
        <w:t>can be</w:t>
      </w:r>
      <w:r w:rsidRPr="00B731DB">
        <w:rPr>
          <w:rFonts w:ascii="Times New Roman" w:hAnsi="Times New Roman" w:cs="Times New Roman"/>
        </w:rPr>
        <w:t xml:space="preserve"> regarded as highly as s</w:t>
      </w:r>
      <w:r w:rsidR="00263311" w:rsidRPr="00B731DB">
        <w:rPr>
          <w:rFonts w:ascii="Times New Roman" w:hAnsi="Times New Roman" w:cs="Times New Roman"/>
        </w:rPr>
        <w:t xml:space="preserve">ingle-authored publications. </w:t>
      </w:r>
      <w:r w:rsidR="00465273">
        <w:rPr>
          <w:rFonts w:ascii="Times New Roman" w:hAnsi="Times New Roman" w:cs="Times New Roman"/>
        </w:rPr>
        <w:t>Interdisciplinary research is also valued</w:t>
      </w:r>
      <w:r w:rsidR="005A195C">
        <w:rPr>
          <w:rFonts w:ascii="Times New Roman" w:hAnsi="Times New Roman" w:cs="Times New Roman"/>
        </w:rPr>
        <w:t xml:space="preserve">. </w:t>
      </w:r>
      <w:r w:rsidR="00465273">
        <w:rPr>
          <w:rFonts w:ascii="Times New Roman" w:hAnsi="Times New Roman" w:cs="Times New Roman"/>
        </w:rPr>
        <w:t xml:space="preserve">In these cases, </w:t>
      </w:r>
      <w:r w:rsidR="00465273" w:rsidRPr="00B731DB">
        <w:rPr>
          <w:rFonts w:ascii="Times New Roman" w:hAnsi="Times New Roman" w:cs="Times New Roman"/>
        </w:rPr>
        <w:t>the faculty member should make clear their distinct, central contribution to the work</w:t>
      </w:r>
      <w:r w:rsidR="00465273">
        <w:rPr>
          <w:rFonts w:ascii="Times New Roman" w:hAnsi="Times New Roman" w:cs="Times New Roman"/>
        </w:rPr>
        <w:t>.</w:t>
      </w:r>
      <w:r w:rsidR="00465273" w:rsidRPr="00B731DB">
        <w:rPr>
          <w:rFonts w:ascii="Times New Roman" w:hAnsi="Times New Roman" w:cs="Times New Roman"/>
        </w:rPr>
        <w:t xml:space="preserve"> </w:t>
      </w:r>
      <w:r w:rsidR="00263311" w:rsidRPr="00B731DB">
        <w:rPr>
          <w:rFonts w:ascii="Times New Roman" w:hAnsi="Times New Roman" w:cs="Times New Roman"/>
        </w:rPr>
        <w:t>P</w:t>
      </w:r>
      <w:r w:rsidRPr="00B731DB">
        <w:rPr>
          <w:rFonts w:ascii="Times New Roman" w:hAnsi="Times New Roman" w:cs="Times New Roman"/>
        </w:rPr>
        <w:t>resen</w:t>
      </w:r>
      <w:r w:rsidR="00263311" w:rsidRPr="00B731DB">
        <w:rPr>
          <w:rFonts w:ascii="Times New Roman" w:hAnsi="Times New Roman" w:cs="Times New Roman"/>
        </w:rPr>
        <w:t xml:space="preserve">tations by Linfield students can </w:t>
      </w:r>
      <w:r w:rsidR="00424CEA" w:rsidRPr="00B731DB">
        <w:rPr>
          <w:rFonts w:ascii="Times New Roman" w:hAnsi="Times New Roman" w:cs="Times New Roman"/>
        </w:rPr>
        <w:t xml:space="preserve">also </w:t>
      </w:r>
      <w:r w:rsidR="00263311" w:rsidRPr="00B731DB">
        <w:rPr>
          <w:rFonts w:ascii="Times New Roman" w:hAnsi="Times New Roman" w:cs="Times New Roman"/>
        </w:rPr>
        <w:t>be</w:t>
      </w:r>
      <w:r w:rsidRPr="00B731DB">
        <w:rPr>
          <w:rFonts w:ascii="Times New Roman" w:hAnsi="Times New Roman" w:cs="Times New Roman"/>
        </w:rPr>
        <w:t xml:space="preserve"> considered </w:t>
      </w:r>
      <w:r w:rsidR="00424CEA" w:rsidRPr="00B731DB">
        <w:rPr>
          <w:rFonts w:ascii="Times New Roman" w:hAnsi="Times New Roman" w:cs="Times New Roman"/>
        </w:rPr>
        <w:t xml:space="preserve">as </w:t>
      </w:r>
      <w:r w:rsidRPr="00B731DB">
        <w:rPr>
          <w:rFonts w:ascii="Times New Roman" w:hAnsi="Times New Roman" w:cs="Times New Roman"/>
        </w:rPr>
        <w:t xml:space="preserve">equivalent to </w:t>
      </w:r>
      <w:r w:rsidR="00263311" w:rsidRPr="00B731DB">
        <w:rPr>
          <w:rFonts w:ascii="Times New Roman" w:hAnsi="Times New Roman" w:cs="Times New Roman"/>
        </w:rPr>
        <w:t xml:space="preserve">a </w:t>
      </w:r>
      <w:r w:rsidRPr="00B731DB">
        <w:rPr>
          <w:rFonts w:ascii="Times New Roman" w:hAnsi="Times New Roman" w:cs="Times New Roman"/>
        </w:rPr>
        <w:t>presentation by the faculty member</w:t>
      </w:r>
      <w:r w:rsidR="00465273">
        <w:rPr>
          <w:rFonts w:ascii="Times New Roman" w:hAnsi="Times New Roman" w:cs="Times New Roman"/>
        </w:rPr>
        <w:t>, particularly at national meetings</w:t>
      </w:r>
      <w:r w:rsidR="005A195C">
        <w:rPr>
          <w:rFonts w:ascii="Times New Roman" w:hAnsi="Times New Roman" w:cs="Times New Roman"/>
        </w:rPr>
        <w:t xml:space="preserve">. </w:t>
      </w:r>
      <w:r w:rsidR="00465273">
        <w:rPr>
          <w:rFonts w:ascii="Times New Roman" w:hAnsi="Times New Roman" w:cs="Times New Roman"/>
        </w:rPr>
        <w:t>In these cases, the faculty member should make clear how this research fits into the larger goals of the faculty’s work</w:t>
      </w:r>
      <w:r w:rsidR="005A195C">
        <w:rPr>
          <w:rFonts w:ascii="Times New Roman" w:hAnsi="Times New Roman" w:cs="Times New Roman"/>
        </w:rPr>
        <w:t xml:space="preserve">. </w:t>
      </w:r>
      <w:r w:rsidR="000B003A">
        <w:rPr>
          <w:rFonts w:ascii="Times New Roman" w:hAnsi="Times New Roman" w:cs="Times New Roman"/>
        </w:rPr>
        <w:t>It should be noted that each subfield in physics has its own culture for the order of authors</w:t>
      </w:r>
      <w:r w:rsidR="0024654A">
        <w:rPr>
          <w:rFonts w:ascii="Times New Roman" w:hAnsi="Times New Roman" w:cs="Times New Roman"/>
        </w:rPr>
        <w:t>, so it is incumbent on the candidate to clarify their role in the publication</w:t>
      </w:r>
      <w:r w:rsidR="005A195C">
        <w:rPr>
          <w:rFonts w:ascii="Times New Roman" w:hAnsi="Times New Roman" w:cs="Times New Roman"/>
        </w:rPr>
        <w:t xml:space="preserve">. </w:t>
      </w:r>
    </w:p>
    <w:p w14:paraId="1F8C6F89" w14:textId="04807537" w:rsidR="00465273" w:rsidRDefault="0024654A" w:rsidP="00B731DB">
      <w:pPr>
        <w:spacing w:line="360" w:lineRule="auto"/>
        <w:rPr>
          <w:rFonts w:ascii="Times New Roman" w:hAnsi="Times New Roman" w:cs="Times New Roman"/>
        </w:rPr>
      </w:pPr>
      <w:r>
        <w:rPr>
          <w:rFonts w:ascii="Times New Roman" w:hAnsi="Times New Roman" w:cs="Times New Roman"/>
        </w:rPr>
        <w:t>A</w:t>
      </w:r>
      <w:r w:rsidR="005272FF" w:rsidRPr="00B731DB">
        <w:rPr>
          <w:rFonts w:ascii="Times New Roman" w:hAnsi="Times New Roman" w:cs="Times New Roman"/>
        </w:rPr>
        <w:t xml:space="preserve"> typical line of investigation should be presented as it progresses</w:t>
      </w:r>
      <w:r w:rsidR="005A195C" w:rsidRPr="00B731DB">
        <w:rPr>
          <w:rFonts w:ascii="Times New Roman" w:hAnsi="Times New Roman" w:cs="Times New Roman"/>
        </w:rPr>
        <w:t xml:space="preserve">. </w:t>
      </w:r>
      <w:r w:rsidR="005272FF" w:rsidRPr="00B731DB">
        <w:rPr>
          <w:rFonts w:ascii="Times New Roman" w:hAnsi="Times New Roman" w:cs="Times New Roman"/>
        </w:rPr>
        <w:t>For example, presentation of initial results often occurs in smaller regional meetings, then as the project develops, at national meetings and ultimately results in publication in a peer-reviewed scientific journal</w:t>
      </w:r>
      <w:r w:rsidR="005A195C" w:rsidRPr="00B731DB">
        <w:rPr>
          <w:rFonts w:ascii="Times New Roman" w:hAnsi="Times New Roman" w:cs="Times New Roman"/>
        </w:rPr>
        <w:t xml:space="preserve">. </w:t>
      </w:r>
      <w:r w:rsidR="005272FF" w:rsidRPr="00B731DB">
        <w:rPr>
          <w:rFonts w:ascii="Times New Roman" w:hAnsi="Times New Roman" w:cs="Times New Roman"/>
        </w:rPr>
        <w:t xml:space="preserve">  </w:t>
      </w:r>
    </w:p>
    <w:p w14:paraId="1BE7C554" w14:textId="38BBF76D" w:rsidR="006A68E3" w:rsidRPr="006A68E3" w:rsidRDefault="0024654A" w:rsidP="006A68E3">
      <w:pPr>
        <w:spacing w:line="360" w:lineRule="auto"/>
        <w:ind w:firstLine="360"/>
        <w:rPr>
          <w:rFonts w:ascii="Times New Roman" w:hAnsi="Times New Roman" w:cs="Times New Roman"/>
        </w:rPr>
      </w:pPr>
      <w:r w:rsidRPr="006A68E3">
        <w:rPr>
          <w:rFonts w:ascii="Times New Roman" w:hAnsi="Times New Roman" w:cs="Times New Roman"/>
        </w:rPr>
        <w:t xml:space="preserve">Grant </w:t>
      </w:r>
      <w:r w:rsidR="006A68E3" w:rsidRPr="006A68E3">
        <w:rPr>
          <w:rFonts w:ascii="Times New Roman" w:hAnsi="Times New Roman" w:cs="Times New Roman"/>
        </w:rPr>
        <w:t>funding at research institutions typically comes from national funding agencies, such as the National Science Foundation (NSF). Grants from these agencies are peer-reviewed and are extremely competitive</w:t>
      </w:r>
      <w:r w:rsidR="005E7C2C">
        <w:rPr>
          <w:rFonts w:ascii="Times New Roman" w:hAnsi="Times New Roman" w:cs="Times New Roman"/>
        </w:rPr>
        <w:t xml:space="preserve"> and </w:t>
      </w:r>
      <w:r w:rsidR="006A68E3" w:rsidRPr="006A68E3">
        <w:rPr>
          <w:rFonts w:ascii="Times New Roman" w:hAnsi="Times New Roman" w:cs="Times New Roman"/>
        </w:rPr>
        <w:t>are judged on their scientific merit</w:t>
      </w:r>
      <w:r w:rsidR="005E7C2C">
        <w:rPr>
          <w:rFonts w:ascii="Times New Roman" w:hAnsi="Times New Roman" w:cs="Times New Roman"/>
        </w:rPr>
        <w:t xml:space="preserve"> </w:t>
      </w:r>
      <w:r w:rsidR="006A68E3" w:rsidRPr="006A68E3">
        <w:rPr>
          <w:rFonts w:ascii="Times New Roman" w:hAnsi="Times New Roman" w:cs="Times New Roman"/>
        </w:rPr>
        <w:t xml:space="preserve">and the contributions the proposed research will make to the field and training of future scientists. Funding rates for these grants are frequently less than 20%, and of that number even fewer are fully funded at the requested level. Securing funding from one of these agencies is strong endorsement for the research project and will likely lead to publication of the work in top peer-reviewed journals. Funding for faculty at liberal arts colleges may be available through private agencies and foundations, such as the Murdock Trust, the Petroleum Research Foundation, and the Dreyfus Foundation. Grants from these agencies are </w:t>
      </w:r>
      <w:r w:rsidR="006A68E3">
        <w:rPr>
          <w:rFonts w:ascii="Times New Roman" w:hAnsi="Times New Roman" w:cs="Times New Roman"/>
        </w:rPr>
        <w:t xml:space="preserve">also </w:t>
      </w:r>
      <w:r w:rsidR="006A68E3" w:rsidRPr="006A68E3">
        <w:rPr>
          <w:rFonts w:ascii="Times New Roman" w:hAnsi="Times New Roman" w:cs="Times New Roman"/>
        </w:rPr>
        <w:t>peer-reviewed or reviewed at the foundation level and are highly competitive. It is not uncommon for grant proposals to receive favorable peer-review from selected experts in the appropriate field, but still not receive funding after review by the appropriate agency or foundation</w:t>
      </w:r>
      <w:r w:rsidR="005A195C" w:rsidRPr="006A68E3">
        <w:rPr>
          <w:rFonts w:ascii="Times New Roman" w:hAnsi="Times New Roman" w:cs="Times New Roman"/>
        </w:rPr>
        <w:t xml:space="preserve">. </w:t>
      </w:r>
      <w:r w:rsidR="006A68E3" w:rsidRPr="006A68E3">
        <w:rPr>
          <w:rFonts w:ascii="Times New Roman" w:hAnsi="Times New Roman" w:cs="Times New Roman"/>
        </w:rPr>
        <w:t>The Department recognizes that the preparation of a proposal for external funding is a significant professional achievement, and therefore values even unfunded proposals as such, especially those that receive favorable comments from review panels and program directors</w:t>
      </w:r>
      <w:r w:rsidR="005A195C" w:rsidRPr="006A68E3">
        <w:rPr>
          <w:rFonts w:ascii="Times New Roman" w:hAnsi="Times New Roman" w:cs="Times New Roman"/>
        </w:rPr>
        <w:t xml:space="preserve">. </w:t>
      </w:r>
      <w:r w:rsidR="006A68E3" w:rsidRPr="006A68E3">
        <w:rPr>
          <w:rFonts w:ascii="Times New Roman" w:hAnsi="Times New Roman" w:cs="Times New Roman"/>
        </w:rPr>
        <w:t>The weight (tier) is a function of the agencies assessment of the grant proposal, with funding of a grant being a higher-tier achievement.</w:t>
      </w:r>
    </w:p>
    <w:p w14:paraId="7CDF65B8" w14:textId="0C928296" w:rsidR="0003256D" w:rsidRPr="00B731DB" w:rsidRDefault="005272FF" w:rsidP="00B731DB">
      <w:pPr>
        <w:spacing w:line="360" w:lineRule="auto"/>
        <w:rPr>
          <w:rFonts w:ascii="Times New Roman" w:hAnsi="Times New Roman" w:cs="Times New Roman"/>
        </w:rPr>
      </w:pPr>
      <w:r w:rsidRPr="00B731DB">
        <w:rPr>
          <w:rFonts w:ascii="Times New Roman" w:hAnsi="Times New Roman" w:cs="Times New Roman"/>
        </w:rPr>
        <w:t xml:space="preserve">Collaborative research with undergraduates is of particular importance to the ethos of the department, as it combines best practices for student learning with best practices for maintaining highly engaged and effective faculty. </w:t>
      </w:r>
      <w:r w:rsidR="003E7401" w:rsidRPr="00B731DB">
        <w:rPr>
          <w:rFonts w:ascii="Times New Roman" w:hAnsi="Times New Roman" w:cs="Times New Roman"/>
        </w:rPr>
        <w:t xml:space="preserve">Mentoring students through collaboration aids students in understanding the complexity of doing physics and connecting their learning to activities outside the classroom. </w:t>
      </w:r>
      <w:r w:rsidRPr="00B731DB">
        <w:rPr>
          <w:rFonts w:ascii="Times New Roman" w:hAnsi="Times New Roman" w:cs="Times New Roman"/>
        </w:rPr>
        <w:t>While we recognize that each line of scientific investigation is different and that involving undergraduates makes more sense at different stages of a project than others, the department expects that all faculty regularly engage students in their research</w:t>
      </w:r>
      <w:r w:rsidR="005A195C" w:rsidRPr="00B731DB">
        <w:rPr>
          <w:rFonts w:ascii="Times New Roman" w:hAnsi="Times New Roman" w:cs="Times New Roman"/>
        </w:rPr>
        <w:t>.</w:t>
      </w:r>
      <w:r w:rsidR="005A195C">
        <w:rPr>
          <w:rFonts w:ascii="Times New Roman" w:hAnsi="Times New Roman" w:cs="Times New Roman"/>
        </w:rPr>
        <w:t xml:space="preserve"> </w:t>
      </w:r>
      <w:r w:rsidR="001B5FB1">
        <w:rPr>
          <w:rFonts w:ascii="Times New Roman" w:hAnsi="Times New Roman" w:cs="Times New Roman"/>
        </w:rPr>
        <w:t xml:space="preserve">In particular, because every senior in either the Physics or Applied Physics </w:t>
      </w:r>
      <w:r w:rsidR="001B5FB1">
        <w:rPr>
          <w:rFonts w:ascii="Times New Roman" w:hAnsi="Times New Roman" w:cs="Times New Roman"/>
        </w:rPr>
        <w:lastRenderedPageBreak/>
        <w:t>majors is required to complete independent research and a thesis for graduation, faculty members must have research projects in which students can participate</w:t>
      </w:r>
      <w:r w:rsidR="005A195C">
        <w:rPr>
          <w:rFonts w:ascii="Times New Roman" w:hAnsi="Times New Roman" w:cs="Times New Roman"/>
        </w:rPr>
        <w:t xml:space="preserve">. </w:t>
      </w:r>
    </w:p>
    <w:p w14:paraId="3932D0DF" w14:textId="37F11806" w:rsidR="006A68E3" w:rsidRDefault="00957C2B" w:rsidP="00B731DB">
      <w:pPr>
        <w:spacing w:line="360" w:lineRule="auto"/>
        <w:rPr>
          <w:rFonts w:ascii="Times New Roman" w:hAnsi="Times New Roman" w:cs="Times New Roman"/>
          <w:bCs/>
          <w:iCs/>
        </w:rPr>
      </w:pPr>
      <w:r>
        <w:rPr>
          <w:rFonts w:ascii="Times New Roman" w:hAnsi="Times New Roman" w:cs="Times New Roman"/>
          <w:bCs/>
          <w:iCs/>
        </w:rPr>
        <w:t>The exemplars below should not be considered exhaustive, nor should they be viewed as a checklist</w:t>
      </w:r>
      <w:r w:rsidR="005A195C">
        <w:rPr>
          <w:rFonts w:ascii="Times New Roman" w:hAnsi="Times New Roman" w:cs="Times New Roman"/>
          <w:bCs/>
          <w:iCs/>
        </w:rPr>
        <w:t xml:space="preserve">. </w:t>
      </w:r>
      <w:r>
        <w:rPr>
          <w:rFonts w:ascii="Times New Roman" w:hAnsi="Times New Roman" w:cs="Times New Roman"/>
          <w:bCs/>
          <w:iCs/>
        </w:rPr>
        <w:t>Rather, the lists below are guides for candidates to frame their evidence for professional achievement.</w:t>
      </w:r>
    </w:p>
    <w:p w14:paraId="6500B7B6" w14:textId="665F1D25" w:rsidR="00957C2B" w:rsidRPr="00111BA5" w:rsidRDefault="00957C2B" w:rsidP="00111BA5">
      <w:pPr>
        <w:spacing w:line="240" w:lineRule="auto"/>
        <w:rPr>
          <w:rFonts w:ascii="Times New Roman" w:hAnsi="Times New Roman" w:cs="Times New Roman"/>
          <w:bCs/>
          <w:iCs/>
        </w:rPr>
      </w:pPr>
      <w:bookmarkStart w:id="0" w:name="_Hlk114043139"/>
      <w:r w:rsidRPr="00111BA5">
        <w:rPr>
          <w:rFonts w:ascii="Times New Roman" w:hAnsi="Times New Roman" w:cs="Times New Roman"/>
          <w:bCs/>
          <w:iCs/>
        </w:rPr>
        <w:t>Lower Tier evidence of Professional Scholarship</w:t>
      </w:r>
    </w:p>
    <w:p w14:paraId="2D655C9B" w14:textId="5EE05541" w:rsidR="00957C2B" w:rsidRPr="00111BA5" w:rsidRDefault="00957C2B" w:rsidP="00111BA5">
      <w:pPr>
        <w:pStyle w:val="ListParagraph"/>
        <w:numPr>
          <w:ilvl w:val="0"/>
          <w:numId w:val="5"/>
        </w:numPr>
        <w:spacing w:line="240" w:lineRule="auto"/>
        <w:rPr>
          <w:rFonts w:ascii="Times New Roman" w:hAnsi="Times New Roman" w:cs="Times New Roman"/>
          <w:bCs/>
          <w:iCs/>
        </w:rPr>
      </w:pPr>
      <w:r w:rsidRPr="00111BA5">
        <w:rPr>
          <w:rFonts w:ascii="Times New Roman" w:hAnsi="Times New Roman" w:cs="Times New Roman"/>
          <w:bCs/>
          <w:iCs/>
        </w:rPr>
        <w:t>Submission of a grant proposal (</w:t>
      </w:r>
      <w:r w:rsidR="002C3465">
        <w:rPr>
          <w:rFonts w:ascii="Times New Roman" w:hAnsi="Times New Roman" w:cs="Times New Roman"/>
          <w:bCs/>
          <w:iCs/>
        </w:rPr>
        <w:t>regardless of outcome</w:t>
      </w:r>
      <w:r w:rsidRPr="00111BA5">
        <w:rPr>
          <w:rFonts w:ascii="Times New Roman" w:hAnsi="Times New Roman" w:cs="Times New Roman"/>
          <w:bCs/>
          <w:iCs/>
        </w:rPr>
        <w:t>)</w:t>
      </w:r>
    </w:p>
    <w:p w14:paraId="67C4495A" w14:textId="33FBB1DD" w:rsidR="00957C2B" w:rsidRPr="00111BA5" w:rsidRDefault="00957C2B" w:rsidP="00111BA5">
      <w:pPr>
        <w:pStyle w:val="ListParagraph"/>
        <w:numPr>
          <w:ilvl w:val="0"/>
          <w:numId w:val="5"/>
        </w:numPr>
        <w:spacing w:line="240" w:lineRule="auto"/>
        <w:rPr>
          <w:rFonts w:ascii="Times New Roman" w:hAnsi="Times New Roman" w:cs="Times New Roman"/>
          <w:bCs/>
          <w:iCs/>
        </w:rPr>
      </w:pPr>
      <w:r w:rsidRPr="00111BA5">
        <w:rPr>
          <w:rFonts w:ascii="Times New Roman" w:hAnsi="Times New Roman" w:cs="Times New Roman"/>
          <w:bCs/>
          <w:iCs/>
        </w:rPr>
        <w:t>Peer-reviewed publications resulting from graduate and/or postdoctoral work</w:t>
      </w:r>
    </w:p>
    <w:p w14:paraId="37CA04ED" w14:textId="6359D5D8" w:rsidR="00957C2B" w:rsidRPr="0014799B" w:rsidRDefault="00957C2B" w:rsidP="00111BA5">
      <w:pPr>
        <w:pStyle w:val="ListParagraph"/>
        <w:numPr>
          <w:ilvl w:val="0"/>
          <w:numId w:val="7"/>
        </w:numPr>
        <w:spacing w:after="0" w:line="240" w:lineRule="auto"/>
        <w:rPr>
          <w:rFonts w:ascii="Times New Roman" w:hAnsi="Times New Roman" w:cs="Times New Roman"/>
          <w:b/>
        </w:rPr>
      </w:pPr>
      <w:r w:rsidRPr="00111BA5">
        <w:rPr>
          <w:rFonts w:ascii="Times New Roman" w:hAnsi="Times New Roman" w:cs="Times New Roman"/>
        </w:rPr>
        <w:t xml:space="preserve">Presentation of a poster at a regional meeting, such as the Murdock Conference that includes Linfield undergraduate co-authors and/or external collaborators </w:t>
      </w:r>
    </w:p>
    <w:p w14:paraId="086DA5C0" w14:textId="1E872ADC" w:rsidR="0014799B" w:rsidRPr="00111BA5" w:rsidRDefault="0014799B" w:rsidP="00111BA5">
      <w:pPr>
        <w:pStyle w:val="ListParagraph"/>
        <w:numPr>
          <w:ilvl w:val="0"/>
          <w:numId w:val="7"/>
        </w:numPr>
        <w:spacing w:after="0" w:line="240" w:lineRule="auto"/>
        <w:rPr>
          <w:rFonts w:ascii="Times New Roman" w:hAnsi="Times New Roman" w:cs="Times New Roman"/>
          <w:b/>
        </w:rPr>
      </w:pPr>
      <w:r>
        <w:rPr>
          <w:rFonts w:ascii="Times New Roman" w:hAnsi="Times New Roman" w:cs="Times New Roman"/>
        </w:rPr>
        <w:t>Establishing a collaboration with colleagues, either internal or external to Linfield</w:t>
      </w:r>
    </w:p>
    <w:p w14:paraId="5C2BD528" w14:textId="77777777" w:rsidR="00957C2B" w:rsidRPr="00111BA5" w:rsidRDefault="00957C2B" w:rsidP="00111BA5">
      <w:pPr>
        <w:pStyle w:val="ListParagraph"/>
        <w:numPr>
          <w:ilvl w:val="0"/>
          <w:numId w:val="7"/>
        </w:numPr>
        <w:spacing w:after="0" w:line="240" w:lineRule="auto"/>
        <w:rPr>
          <w:rFonts w:ascii="Times New Roman" w:hAnsi="Times New Roman" w:cs="Times New Roman"/>
          <w:b/>
        </w:rPr>
      </w:pPr>
      <w:r w:rsidRPr="00111BA5">
        <w:rPr>
          <w:rFonts w:ascii="Times New Roman" w:hAnsi="Times New Roman" w:cs="Times New Roman"/>
        </w:rPr>
        <w:t>Seminar presentation of scholarship to a general or undergraduate audience</w:t>
      </w:r>
    </w:p>
    <w:p w14:paraId="661E5B9C" w14:textId="77777777" w:rsidR="00957C2B" w:rsidRPr="00111BA5" w:rsidRDefault="00957C2B" w:rsidP="00111BA5">
      <w:pPr>
        <w:pStyle w:val="ListParagraph"/>
        <w:numPr>
          <w:ilvl w:val="0"/>
          <w:numId w:val="7"/>
        </w:numPr>
        <w:spacing w:after="0" w:line="240" w:lineRule="auto"/>
        <w:rPr>
          <w:rFonts w:ascii="Times New Roman" w:hAnsi="Times New Roman" w:cs="Times New Roman"/>
          <w:b/>
        </w:rPr>
      </w:pPr>
      <w:r w:rsidRPr="00111BA5">
        <w:rPr>
          <w:rFonts w:ascii="Times New Roman" w:hAnsi="Times New Roman" w:cs="Times New Roman"/>
        </w:rPr>
        <w:t>Research that is not published but is referenced in a peer-reviewed journal</w:t>
      </w:r>
    </w:p>
    <w:p w14:paraId="35AD4E02" w14:textId="7545E03B" w:rsidR="00BE3B34" w:rsidRPr="00111BA5" w:rsidRDefault="00957C2B" w:rsidP="00111BA5">
      <w:pPr>
        <w:pStyle w:val="ListParagraph"/>
        <w:numPr>
          <w:ilvl w:val="0"/>
          <w:numId w:val="7"/>
        </w:numPr>
        <w:spacing w:after="0" w:line="240" w:lineRule="auto"/>
        <w:rPr>
          <w:rFonts w:ascii="Times New Roman" w:hAnsi="Times New Roman" w:cs="Times New Roman"/>
          <w:b/>
        </w:rPr>
      </w:pPr>
      <w:r w:rsidRPr="00111BA5">
        <w:rPr>
          <w:rFonts w:ascii="Times New Roman" w:hAnsi="Times New Roman" w:cs="Times New Roman"/>
        </w:rPr>
        <w:t xml:space="preserve">Professional consultation that is </w:t>
      </w:r>
      <w:r w:rsidRPr="00111BA5">
        <w:rPr>
          <w:rFonts w:ascii="Times New Roman" w:hAnsi="Times New Roman" w:cs="Times New Roman"/>
          <w:u w:val="single"/>
        </w:rPr>
        <w:t>both</w:t>
      </w:r>
      <w:r w:rsidRPr="00111BA5">
        <w:rPr>
          <w:rFonts w:ascii="Times New Roman" w:hAnsi="Times New Roman" w:cs="Times New Roman"/>
        </w:rPr>
        <w:t xml:space="preserve"> short-term </w:t>
      </w:r>
      <w:r w:rsidRPr="00111BA5">
        <w:rPr>
          <w:rFonts w:ascii="Times New Roman" w:hAnsi="Times New Roman" w:cs="Times New Roman"/>
          <w:u w:val="single"/>
        </w:rPr>
        <w:t>and</w:t>
      </w:r>
      <w:r w:rsidRPr="00111BA5">
        <w:rPr>
          <w:rFonts w:ascii="Times New Roman" w:hAnsi="Times New Roman" w:cs="Times New Roman"/>
        </w:rPr>
        <w:t xml:space="preserve"> for no remuneration</w:t>
      </w:r>
      <w:r w:rsidR="005A195C" w:rsidRPr="00111BA5">
        <w:rPr>
          <w:rFonts w:ascii="Times New Roman" w:hAnsi="Times New Roman" w:cs="Times New Roman"/>
        </w:rPr>
        <w:t xml:space="preserve">. </w:t>
      </w:r>
    </w:p>
    <w:p w14:paraId="74E36444" w14:textId="4528F16F" w:rsidR="00A547D8" w:rsidRPr="00111BA5" w:rsidRDefault="00A547D8" w:rsidP="00111BA5">
      <w:pPr>
        <w:pStyle w:val="ListParagraph"/>
        <w:numPr>
          <w:ilvl w:val="0"/>
          <w:numId w:val="7"/>
        </w:numPr>
        <w:spacing w:after="0" w:line="240" w:lineRule="auto"/>
        <w:rPr>
          <w:rFonts w:ascii="Times New Roman" w:hAnsi="Times New Roman" w:cs="Times New Roman"/>
          <w:b/>
        </w:rPr>
      </w:pPr>
      <w:r w:rsidRPr="00111BA5">
        <w:rPr>
          <w:rFonts w:ascii="Times New Roman" w:hAnsi="Times New Roman" w:cs="Times New Roman"/>
        </w:rPr>
        <w:t xml:space="preserve">Invitation to be a guest </w:t>
      </w:r>
      <w:r w:rsidR="00EE64AE">
        <w:rPr>
          <w:rFonts w:ascii="Times New Roman" w:hAnsi="Times New Roman" w:cs="Times New Roman"/>
        </w:rPr>
        <w:t>for established public facing science (e.g., podcast, blog, YouTube channel, OMSI After Dark, …)</w:t>
      </w:r>
    </w:p>
    <w:p w14:paraId="29745450" w14:textId="77777777" w:rsidR="00BE3B34" w:rsidRPr="00111BA5" w:rsidRDefault="00BE3B34" w:rsidP="00111BA5">
      <w:pPr>
        <w:pStyle w:val="ListParagraph"/>
        <w:spacing w:after="0" w:line="240" w:lineRule="auto"/>
        <w:rPr>
          <w:rFonts w:ascii="Times New Roman" w:hAnsi="Times New Roman" w:cs="Times New Roman"/>
          <w:b/>
        </w:rPr>
      </w:pPr>
    </w:p>
    <w:p w14:paraId="27621FD4" w14:textId="433468A3" w:rsidR="00BE3B34" w:rsidRDefault="00BE3B34" w:rsidP="00111BA5">
      <w:pPr>
        <w:spacing w:after="0" w:line="240" w:lineRule="auto"/>
        <w:rPr>
          <w:rFonts w:ascii="Times New Roman" w:hAnsi="Times New Roman" w:cs="Times New Roman"/>
        </w:rPr>
      </w:pPr>
      <w:r w:rsidRPr="00111BA5">
        <w:rPr>
          <w:rFonts w:ascii="Times New Roman" w:hAnsi="Times New Roman" w:cs="Times New Roman"/>
        </w:rPr>
        <w:t xml:space="preserve">Lower Tier evidence of </w:t>
      </w:r>
      <w:r w:rsidR="001B5FB1" w:rsidRPr="00111BA5">
        <w:rPr>
          <w:rFonts w:ascii="Times New Roman" w:hAnsi="Times New Roman" w:cs="Times New Roman"/>
        </w:rPr>
        <w:t>Collaborative research</w:t>
      </w:r>
    </w:p>
    <w:p w14:paraId="4C9F04DD" w14:textId="77777777" w:rsidR="00111BA5" w:rsidRPr="00111BA5" w:rsidRDefault="00111BA5" w:rsidP="00111BA5">
      <w:pPr>
        <w:spacing w:after="0" w:line="240" w:lineRule="auto"/>
        <w:rPr>
          <w:rFonts w:ascii="Times New Roman" w:hAnsi="Times New Roman" w:cs="Times New Roman"/>
        </w:rPr>
      </w:pPr>
    </w:p>
    <w:p w14:paraId="72F381C9" w14:textId="29DBA2C2" w:rsidR="00957C2B" w:rsidRPr="00111BA5" w:rsidRDefault="00957C2B" w:rsidP="00111BA5">
      <w:pPr>
        <w:pStyle w:val="ListParagraph"/>
        <w:numPr>
          <w:ilvl w:val="0"/>
          <w:numId w:val="9"/>
        </w:numPr>
        <w:spacing w:after="0" w:line="240" w:lineRule="auto"/>
        <w:rPr>
          <w:rFonts w:ascii="Times New Roman" w:hAnsi="Times New Roman" w:cs="Times New Roman"/>
          <w:b/>
        </w:rPr>
      </w:pPr>
      <w:r w:rsidRPr="00111BA5">
        <w:rPr>
          <w:rFonts w:ascii="Times New Roman" w:hAnsi="Times New Roman" w:cs="Times New Roman"/>
        </w:rPr>
        <w:t>Research with Linfield undergraduate students (SFCR)</w:t>
      </w:r>
    </w:p>
    <w:p w14:paraId="69FFC4BD" w14:textId="6D77524D" w:rsidR="001B5FB1" w:rsidRPr="00111BA5" w:rsidRDefault="001B5FB1" w:rsidP="00111BA5">
      <w:pPr>
        <w:pStyle w:val="ListParagraph"/>
        <w:numPr>
          <w:ilvl w:val="0"/>
          <w:numId w:val="9"/>
        </w:numPr>
        <w:spacing w:after="0" w:line="240" w:lineRule="auto"/>
        <w:rPr>
          <w:rFonts w:ascii="Times New Roman" w:hAnsi="Times New Roman" w:cs="Times New Roman"/>
          <w:b/>
        </w:rPr>
      </w:pPr>
      <w:r w:rsidRPr="00111BA5">
        <w:rPr>
          <w:rFonts w:ascii="Times New Roman" w:hAnsi="Times New Roman" w:cs="Times New Roman"/>
        </w:rPr>
        <w:t xml:space="preserve">Mentoring senior thesis students on projects, </w:t>
      </w:r>
      <w:r w:rsidR="00BE525D" w:rsidRPr="00111BA5">
        <w:rPr>
          <w:rFonts w:ascii="Times New Roman" w:hAnsi="Times New Roman" w:cs="Times New Roman"/>
        </w:rPr>
        <w:t>outside of professional expertise</w:t>
      </w:r>
    </w:p>
    <w:p w14:paraId="317956BE" w14:textId="3A51D286" w:rsidR="00A547D8" w:rsidRPr="00111BA5" w:rsidRDefault="00A547D8" w:rsidP="00111BA5">
      <w:pPr>
        <w:pStyle w:val="ListParagraph"/>
        <w:numPr>
          <w:ilvl w:val="0"/>
          <w:numId w:val="9"/>
        </w:numPr>
        <w:spacing w:after="0" w:line="240" w:lineRule="auto"/>
        <w:rPr>
          <w:rFonts w:ascii="Times New Roman" w:hAnsi="Times New Roman" w:cs="Times New Roman"/>
          <w:b/>
        </w:rPr>
      </w:pPr>
      <w:r w:rsidRPr="00111BA5">
        <w:rPr>
          <w:rFonts w:ascii="Times New Roman" w:hAnsi="Times New Roman" w:cs="Times New Roman"/>
        </w:rPr>
        <w:t>Student presentations at regional conferences</w:t>
      </w:r>
      <w:r w:rsidR="00BE525D" w:rsidRPr="00111BA5">
        <w:rPr>
          <w:rFonts w:ascii="Times New Roman" w:hAnsi="Times New Roman" w:cs="Times New Roman"/>
        </w:rPr>
        <w:t>, or Linfield Symposium</w:t>
      </w:r>
    </w:p>
    <w:p w14:paraId="238DBB71" w14:textId="77777777" w:rsidR="00BE525D" w:rsidRPr="00111BA5" w:rsidRDefault="00BE525D" w:rsidP="00111BA5">
      <w:pPr>
        <w:spacing w:after="0" w:line="240" w:lineRule="auto"/>
        <w:rPr>
          <w:rFonts w:ascii="Times New Roman" w:hAnsi="Times New Roman" w:cs="Times New Roman"/>
          <w:bCs/>
        </w:rPr>
      </w:pPr>
    </w:p>
    <w:p w14:paraId="16E6D615" w14:textId="19EC9145" w:rsidR="00A547D8" w:rsidRPr="00111BA5" w:rsidRDefault="00A547D8" w:rsidP="00111BA5">
      <w:pPr>
        <w:spacing w:after="0" w:line="240" w:lineRule="auto"/>
        <w:rPr>
          <w:rFonts w:ascii="Times New Roman" w:hAnsi="Times New Roman" w:cs="Times New Roman"/>
          <w:bCs/>
        </w:rPr>
      </w:pPr>
      <w:r w:rsidRPr="00111BA5">
        <w:rPr>
          <w:rFonts w:ascii="Times New Roman" w:hAnsi="Times New Roman" w:cs="Times New Roman"/>
          <w:bCs/>
        </w:rPr>
        <w:t>Middle Tier evidence of Professional Achievement</w:t>
      </w:r>
    </w:p>
    <w:p w14:paraId="02C6E5AC" w14:textId="77777777" w:rsidR="00957C2B" w:rsidRPr="00111BA5" w:rsidRDefault="00957C2B" w:rsidP="00111BA5">
      <w:pPr>
        <w:pStyle w:val="ListParagraph"/>
        <w:spacing w:line="240" w:lineRule="auto"/>
        <w:rPr>
          <w:rFonts w:ascii="Times New Roman" w:hAnsi="Times New Roman" w:cs="Times New Roman"/>
          <w:b/>
        </w:rPr>
      </w:pPr>
    </w:p>
    <w:p w14:paraId="0F08E949" w14:textId="77777777" w:rsidR="00957C2B" w:rsidRPr="00111BA5" w:rsidRDefault="00957C2B"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rPr>
        <w:t>Submission of a grant proposal with subsequent positive feedback (although not yet funded)</w:t>
      </w:r>
    </w:p>
    <w:p w14:paraId="63EA4E77" w14:textId="6ECE7439" w:rsidR="00957C2B" w:rsidRPr="00111BA5" w:rsidRDefault="00A547D8"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rPr>
        <w:t>Invited s</w:t>
      </w:r>
      <w:r w:rsidR="00957C2B" w:rsidRPr="00111BA5">
        <w:rPr>
          <w:rFonts w:ascii="Times New Roman" w:hAnsi="Times New Roman" w:cs="Times New Roman"/>
        </w:rPr>
        <w:t>eminar presentation of scholarship to a professional or graduate audience</w:t>
      </w:r>
    </w:p>
    <w:p w14:paraId="18C3BA6E" w14:textId="2FC7189B" w:rsidR="00A547D8" w:rsidRPr="00111BA5" w:rsidRDefault="00A547D8"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bCs/>
        </w:rPr>
        <w:t xml:space="preserve">Presentation, either oral or as a poster, at a national, international, or </w:t>
      </w:r>
      <w:r w:rsidR="00BE525D" w:rsidRPr="00111BA5">
        <w:rPr>
          <w:rFonts w:ascii="Times New Roman" w:hAnsi="Times New Roman" w:cs="Times New Roman"/>
          <w:bCs/>
        </w:rPr>
        <w:t>specialized audience conference</w:t>
      </w:r>
    </w:p>
    <w:p w14:paraId="2401521C" w14:textId="014D97C3" w:rsidR="00957C2B" w:rsidRPr="00111BA5" w:rsidRDefault="00957C2B"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rPr>
        <w:t xml:space="preserve">Professional consultation which is </w:t>
      </w:r>
      <w:r w:rsidRPr="00111BA5">
        <w:rPr>
          <w:rFonts w:ascii="Times New Roman" w:hAnsi="Times New Roman" w:cs="Times New Roman"/>
          <w:u w:val="single"/>
        </w:rPr>
        <w:t>either</w:t>
      </w:r>
      <w:r w:rsidRPr="00111BA5">
        <w:rPr>
          <w:rFonts w:ascii="Times New Roman" w:hAnsi="Times New Roman" w:cs="Times New Roman"/>
        </w:rPr>
        <w:t xml:space="preserve"> long-term or remunerated</w:t>
      </w:r>
    </w:p>
    <w:p w14:paraId="61B7BF61" w14:textId="0407CC4D" w:rsidR="00957C2B" w:rsidRPr="00111BA5" w:rsidRDefault="00957C2B"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rPr>
        <w:t>Development, assessment</w:t>
      </w:r>
      <w:r w:rsidR="00BE525D" w:rsidRPr="00111BA5">
        <w:rPr>
          <w:rFonts w:ascii="Times New Roman" w:hAnsi="Times New Roman" w:cs="Times New Roman"/>
        </w:rPr>
        <w:t>,</w:t>
      </w:r>
      <w:r w:rsidRPr="00111BA5">
        <w:rPr>
          <w:rFonts w:ascii="Times New Roman" w:hAnsi="Times New Roman" w:cs="Times New Roman"/>
        </w:rPr>
        <w:t xml:space="preserve"> and dissemination of teaching materials for distribution to colleagues</w:t>
      </w:r>
    </w:p>
    <w:p w14:paraId="6135E9D1" w14:textId="0B3925F8" w:rsidR="00957C2B" w:rsidRPr="00111BA5" w:rsidRDefault="00957C2B"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rPr>
        <w:t>Experimental implementation of new pedagogical approaches, assessment</w:t>
      </w:r>
      <w:r w:rsidR="00E755A8">
        <w:rPr>
          <w:rFonts w:ascii="Times New Roman" w:hAnsi="Times New Roman" w:cs="Times New Roman"/>
        </w:rPr>
        <w:t>,</w:t>
      </w:r>
      <w:r w:rsidRPr="00111BA5">
        <w:rPr>
          <w:rFonts w:ascii="Times New Roman" w:hAnsi="Times New Roman" w:cs="Times New Roman"/>
        </w:rPr>
        <w:t xml:space="preserve"> and dissemination of their outcomes associated with SoTL</w:t>
      </w:r>
    </w:p>
    <w:p w14:paraId="28E15309" w14:textId="75F13A9F" w:rsidR="007F7DC1" w:rsidRPr="00111BA5" w:rsidRDefault="007F7DC1"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rPr>
        <w:t xml:space="preserve">Create or regularly contribute to </w:t>
      </w:r>
      <w:r w:rsidR="00A3493D" w:rsidRPr="00111BA5">
        <w:rPr>
          <w:rFonts w:ascii="Times New Roman" w:hAnsi="Times New Roman" w:cs="Times New Roman"/>
        </w:rPr>
        <w:t>science-based</w:t>
      </w:r>
      <w:r w:rsidRPr="00111BA5">
        <w:rPr>
          <w:rFonts w:ascii="Times New Roman" w:hAnsi="Times New Roman" w:cs="Times New Roman"/>
        </w:rPr>
        <w:t xml:space="preserve"> podcast</w:t>
      </w:r>
      <w:r w:rsidR="00A3493D">
        <w:rPr>
          <w:rFonts w:ascii="Times New Roman" w:hAnsi="Times New Roman" w:cs="Times New Roman"/>
        </w:rPr>
        <w:t xml:space="preserve"> or other </w:t>
      </w:r>
      <w:r w:rsidR="00EE64AE">
        <w:rPr>
          <w:rFonts w:ascii="Times New Roman" w:hAnsi="Times New Roman" w:cs="Times New Roman"/>
        </w:rPr>
        <w:t>Public Facing Science media</w:t>
      </w:r>
    </w:p>
    <w:p w14:paraId="16A72ADD" w14:textId="4276132C" w:rsidR="00957C2B" w:rsidRPr="00111BA5" w:rsidRDefault="00957C2B" w:rsidP="00111BA5">
      <w:pPr>
        <w:pStyle w:val="ListParagraph"/>
        <w:numPr>
          <w:ilvl w:val="0"/>
          <w:numId w:val="6"/>
        </w:numPr>
        <w:spacing w:after="0" w:line="240" w:lineRule="auto"/>
        <w:rPr>
          <w:rFonts w:ascii="Times New Roman" w:hAnsi="Times New Roman" w:cs="Times New Roman"/>
          <w:b/>
        </w:rPr>
      </w:pPr>
      <w:r w:rsidRPr="00111BA5">
        <w:rPr>
          <w:rFonts w:ascii="Times New Roman" w:hAnsi="Times New Roman" w:cs="Times New Roman"/>
        </w:rPr>
        <w:t xml:space="preserve">Peer-reviewed publications resulting from work at institutions prior to Linfield, in which the candidate was the </w:t>
      </w:r>
      <w:r w:rsidR="00F672D0" w:rsidRPr="00111BA5">
        <w:rPr>
          <w:rFonts w:ascii="Times New Roman" w:hAnsi="Times New Roman" w:cs="Times New Roman"/>
        </w:rPr>
        <w:t>principal</w:t>
      </w:r>
      <w:r w:rsidRPr="00111BA5">
        <w:rPr>
          <w:rFonts w:ascii="Times New Roman" w:hAnsi="Times New Roman" w:cs="Times New Roman"/>
        </w:rPr>
        <w:t xml:space="preserve"> investigator</w:t>
      </w:r>
    </w:p>
    <w:p w14:paraId="671D593D" w14:textId="77777777" w:rsidR="00BE525D" w:rsidRPr="00111BA5" w:rsidRDefault="00BE525D" w:rsidP="00111BA5">
      <w:pPr>
        <w:spacing w:after="0" w:line="240" w:lineRule="auto"/>
        <w:rPr>
          <w:rFonts w:ascii="Times New Roman" w:hAnsi="Times New Roman" w:cs="Times New Roman"/>
        </w:rPr>
      </w:pPr>
    </w:p>
    <w:p w14:paraId="4B2061FF" w14:textId="626A72F3" w:rsidR="00BE525D" w:rsidRPr="00111BA5" w:rsidRDefault="00BE525D" w:rsidP="00111BA5">
      <w:pPr>
        <w:spacing w:after="0" w:line="240" w:lineRule="auto"/>
        <w:rPr>
          <w:rFonts w:ascii="Times New Roman" w:hAnsi="Times New Roman" w:cs="Times New Roman"/>
        </w:rPr>
      </w:pPr>
      <w:r w:rsidRPr="00111BA5">
        <w:rPr>
          <w:rFonts w:ascii="Times New Roman" w:hAnsi="Times New Roman" w:cs="Times New Roman"/>
        </w:rPr>
        <w:t>Middle Tier evidence of Collaborative research</w:t>
      </w:r>
    </w:p>
    <w:p w14:paraId="26241BC8" w14:textId="2869456F" w:rsidR="00957C2B" w:rsidRPr="00111BA5" w:rsidRDefault="00BE525D" w:rsidP="00111BA5">
      <w:pPr>
        <w:pStyle w:val="ListParagraph"/>
        <w:numPr>
          <w:ilvl w:val="0"/>
          <w:numId w:val="10"/>
        </w:numPr>
        <w:spacing w:line="240" w:lineRule="auto"/>
        <w:rPr>
          <w:rFonts w:ascii="Times New Roman" w:hAnsi="Times New Roman" w:cs="Times New Roman"/>
          <w:bCs/>
        </w:rPr>
      </w:pPr>
      <w:r w:rsidRPr="00111BA5">
        <w:rPr>
          <w:rFonts w:ascii="Times New Roman" w:hAnsi="Times New Roman" w:cs="Times New Roman"/>
          <w:bCs/>
        </w:rPr>
        <w:t xml:space="preserve">Student Faculty Collaborative Research Grants </w:t>
      </w:r>
    </w:p>
    <w:p w14:paraId="699980DF" w14:textId="49D357B5" w:rsidR="00BE525D" w:rsidRPr="00111BA5" w:rsidRDefault="00BE525D" w:rsidP="00111BA5">
      <w:pPr>
        <w:pStyle w:val="ListParagraph"/>
        <w:numPr>
          <w:ilvl w:val="0"/>
          <w:numId w:val="10"/>
        </w:numPr>
        <w:spacing w:line="240" w:lineRule="auto"/>
        <w:rPr>
          <w:rFonts w:ascii="Times New Roman" w:hAnsi="Times New Roman" w:cs="Times New Roman"/>
          <w:bCs/>
        </w:rPr>
      </w:pPr>
      <w:r w:rsidRPr="00111BA5">
        <w:rPr>
          <w:rFonts w:ascii="Times New Roman" w:hAnsi="Times New Roman" w:cs="Times New Roman"/>
          <w:bCs/>
        </w:rPr>
        <w:t>Student presenting poster at National Conference</w:t>
      </w:r>
    </w:p>
    <w:p w14:paraId="4BD89531" w14:textId="01CC4590" w:rsidR="00BE525D" w:rsidRPr="00111BA5" w:rsidRDefault="00BE525D" w:rsidP="00111BA5">
      <w:pPr>
        <w:pStyle w:val="ListParagraph"/>
        <w:numPr>
          <w:ilvl w:val="0"/>
          <w:numId w:val="10"/>
        </w:numPr>
        <w:spacing w:line="240" w:lineRule="auto"/>
        <w:rPr>
          <w:rFonts w:ascii="Times New Roman" w:hAnsi="Times New Roman" w:cs="Times New Roman"/>
          <w:bCs/>
        </w:rPr>
      </w:pPr>
      <w:r w:rsidRPr="00111BA5">
        <w:rPr>
          <w:rFonts w:ascii="Times New Roman" w:hAnsi="Times New Roman" w:cs="Times New Roman"/>
          <w:bCs/>
        </w:rPr>
        <w:t xml:space="preserve">Student presenting </w:t>
      </w:r>
      <w:r w:rsidR="007F7DC1" w:rsidRPr="00111BA5">
        <w:rPr>
          <w:rFonts w:ascii="Times New Roman" w:hAnsi="Times New Roman" w:cs="Times New Roman"/>
          <w:bCs/>
        </w:rPr>
        <w:t>oral presentation at Murdock Conference</w:t>
      </w:r>
    </w:p>
    <w:p w14:paraId="35A954FD" w14:textId="03595321" w:rsidR="00BE525D" w:rsidRPr="00111BA5" w:rsidRDefault="007F7DC1" w:rsidP="00111BA5">
      <w:pPr>
        <w:pStyle w:val="ListParagraph"/>
        <w:numPr>
          <w:ilvl w:val="0"/>
          <w:numId w:val="10"/>
        </w:numPr>
        <w:spacing w:line="240" w:lineRule="auto"/>
        <w:rPr>
          <w:rFonts w:ascii="Times New Roman" w:hAnsi="Times New Roman" w:cs="Times New Roman"/>
          <w:bCs/>
        </w:rPr>
      </w:pPr>
      <w:r w:rsidRPr="00111BA5">
        <w:rPr>
          <w:rFonts w:ascii="Times New Roman" w:hAnsi="Times New Roman" w:cs="Times New Roman"/>
          <w:bCs/>
        </w:rPr>
        <w:t>Mentoring senior thesis within topic of professional expertise</w:t>
      </w:r>
    </w:p>
    <w:p w14:paraId="2C92B87E" w14:textId="60B12EC2" w:rsidR="00BE525D" w:rsidRPr="00111BA5" w:rsidRDefault="007F7DC1" w:rsidP="00111BA5">
      <w:pPr>
        <w:spacing w:line="240" w:lineRule="auto"/>
        <w:rPr>
          <w:rFonts w:ascii="Times New Roman" w:hAnsi="Times New Roman" w:cs="Times New Roman"/>
          <w:bCs/>
        </w:rPr>
      </w:pPr>
      <w:r w:rsidRPr="00111BA5">
        <w:rPr>
          <w:rFonts w:ascii="Times New Roman" w:hAnsi="Times New Roman" w:cs="Times New Roman"/>
          <w:bCs/>
        </w:rPr>
        <w:t>Higher Tier evidence of Professional Achievement</w:t>
      </w:r>
    </w:p>
    <w:p w14:paraId="131CC295" w14:textId="1D6BED85" w:rsidR="00957C2B" w:rsidRPr="00111BA5" w:rsidRDefault="00957C2B" w:rsidP="00111BA5">
      <w:pPr>
        <w:pStyle w:val="ListParagraph"/>
        <w:numPr>
          <w:ilvl w:val="0"/>
          <w:numId w:val="8"/>
        </w:numPr>
        <w:spacing w:after="0" w:line="240" w:lineRule="auto"/>
        <w:rPr>
          <w:rFonts w:ascii="Times New Roman" w:hAnsi="Times New Roman" w:cs="Times New Roman"/>
          <w:b/>
        </w:rPr>
      </w:pPr>
      <w:r w:rsidRPr="00111BA5">
        <w:rPr>
          <w:rFonts w:ascii="Times New Roman" w:hAnsi="Times New Roman" w:cs="Times New Roman"/>
        </w:rPr>
        <w:t>Submission and successful funding of a grant proposal</w:t>
      </w:r>
      <w:r w:rsidR="0014799B">
        <w:rPr>
          <w:rFonts w:ascii="Times New Roman" w:hAnsi="Times New Roman" w:cs="Times New Roman"/>
        </w:rPr>
        <w:t xml:space="preserve"> (for research, SoTL, instrumentation, </w:t>
      </w:r>
      <w:r w:rsidR="00F672D0">
        <w:rPr>
          <w:rFonts w:ascii="Times New Roman" w:hAnsi="Times New Roman" w:cs="Times New Roman"/>
        </w:rPr>
        <w:t>etc.</w:t>
      </w:r>
      <w:r w:rsidR="0014799B">
        <w:rPr>
          <w:rFonts w:ascii="Times New Roman" w:hAnsi="Times New Roman" w:cs="Times New Roman"/>
        </w:rPr>
        <w:t>)</w:t>
      </w:r>
    </w:p>
    <w:p w14:paraId="5161788A" w14:textId="2260DFDF" w:rsidR="00957C2B" w:rsidRPr="00111BA5" w:rsidRDefault="00957C2B" w:rsidP="00111BA5">
      <w:pPr>
        <w:pStyle w:val="ListParagraph"/>
        <w:numPr>
          <w:ilvl w:val="0"/>
          <w:numId w:val="8"/>
        </w:numPr>
        <w:spacing w:after="0" w:line="240" w:lineRule="auto"/>
        <w:rPr>
          <w:rFonts w:ascii="Times New Roman" w:hAnsi="Times New Roman" w:cs="Times New Roman"/>
          <w:b/>
        </w:rPr>
      </w:pPr>
      <w:r w:rsidRPr="00111BA5">
        <w:rPr>
          <w:rFonts w:ascii="Times New Roman" w:hAnsi="Times New Roman" w:cs="Times New Roman"/>
        </w:rPr>
        <w:t xml:space="preserve">Publication of research done at Linfield or while </w:t>
      </w:r>
      <w:r w:rsidR="0014799B">
        <w:rPr>
          <w:rFonts w:ascii="Times New Roman" w:hAnsi="Times New Roman" w:cs="Times New Roman"/>
        </w:rPr>
        <w:t xml:space="preserve">working </w:t>
      </w:r>
      <w:r w:rsidRPr="00111BA5">
        <w:rPr>
          <w:rFonts w:ascii="Times New Roman" w:hAnsi="Times New Roman" w:cs="Times New Roman"/>
        </w:rPr>
        <w:t>at Linfield in a peer-reviewed journal</w:t>
      </w:r>
    </w:p>
    <w:p w14:paraId="526FB1CD" w14:textId="77777777" w:rsidR="00957C2B" w:rsidRPr="00111BA5" w:rsidRDefault="00957C2B" w:rsidP="00111BA5">
      <w:pPr>
        <w:pStyle w:val="ListParagraph"/>
        <w:numPr>
          <w:ilvl w:val="0"/>
          <w:numId w:val="8"/>
        </w:numPr>
        <w:spacing w:after="0" w:line="240" w:lineRule="auto"/>
        <w:rPr>
          <w:rFonts w:ascii="Times New Roman" w:hAnsi="Times New Roman" w:cs="Times New Roman"/>
          <w:b/>
        </w:rPr>
      </w:pPr>
      <w:r w:rsidRPr="00111BA5">
        <w:rPr>
          <w:rFonts w:ascii="Times New Roman" w:hAnsi="Times New Roman" w:cs="Times New Roman"/>
        </w:rPr>
        <w:lastRenderedPageBreak/>
        <w:t>Authorship of curricular materials with subsequent peer-reviewed publication</w:t>
      </w:r>
    </w:p>
    <w:p w14:paraId="2204F318" w14:textId="18AA0FBE" w:rsidR="00957C2B" w:rsidRPr="00111BA5" w:rsidRDefault="00957C2B" w:rsidP="00111BA5">
      <w:pPr>
        <w:pStyle w:val="ListParagraph"/>
        <w:numPr>
          <w:ilvl w:val="0"/>
          <w:numId w:val="8"/>
        </w:numPr>
        <w:spacing w:after="0" w:line="240" w:lineRule="auto"/>
        <w:rPr>
          <w:rFonts w:ascii="Times New Roman" w:hAnsi="Times New Roman" w:cs="Times New Roman"/>
          <w:b/>
        </w:rPr>
      </w:pPr>
      <w:r w:rsidRPr="00111BA5">
        <w:rPr>
          <w:rFonts w:ascii="Times New Roman" w:hAnsi="Times New Roman" w:cs="Times New Roman"/>
        </w:rPr>
        <w:t xml:space="preserve">Delivery of an invited </w:t>
      </w:r>
      <w:r w:rsidR="007F7DC1" w:rsidRPr="00111BA5">
        <w:rPr>
          <w:rFonts w:ascii="Times New Roman" w:hAnsi="Times New Roman" w:cs="Times New Roman"/>
        </w:rPr>
        <w:t>presentation</w:t>
      </w:r>
      <w:r w:rsidRPr="00111BA5">
        <w:rPr>
          <w:rFonts w:ascii="Times New Roman" w:hAnsi="Times New Roman" w:cs="Times New Roman"/>
        </w:rPr>
        <w:t xml:space="preserve"> at a national meeting</w:t>
      </w:r>
    </w:p>
    <w:p w14:paraId="09D325D3" w14:textId="11154AE8" w:rsidR="00957C2B" w:rsidRPr="00111BA5" w:rsidRDefault="00957C2B" w:rsidP="00111BA5">
      <w:pPr>
        <w:pStyle w:val="ListParagraph"/>
        <w:numPr>
          <w:ilvl w:val="0"/>
          <w:numId w:val="8"/>
        </w:numPr>
        <w:spacing w:after="0" w:line="240" w:lineRule="auto"/>
        <w:rPr>
          <w:rFonts w:ascii="Times New Roman" w:hAnsi="Times New Roman" w:cs="Times New Roman"/>
          <w:b/>
        </w:rPr>
      </w:pPr>
      <w:r w:rsidRPr="00111BA5">
        <w:rPr>
          <w:rFonts w:ascii="Times New Roman" w:hAnsi="Times New Roman" w:cs="Times New Roman"/>
        </w:rPr>
        <w:t xml:space="preserve">Invited review of grant proposals for national and international foundations (NSF, NIH, etc.) which demonstrates expertise in a </w:t>
      </w:r>
      <w:r w:rsidR="007F7DC1" w:rsidRPr="00111BA5">
        <w:rPr>
          <w:rFonts w:ascii="Times New Roman" w:hAnsi="Times New Roman" w:cs="Times New Roman"/>
        </w:rPr>
        <w:t>physics</w:t>
      </w:r>
      <w:r w:rsidRPr="00111BA5">
        <w:rPr>
          <w:rFonts w:ascii="Times New Roman" w:hAnsi="Times New Roman" w:cs="Times New Roman"/>
        </w:rPr>
        <w:t xml:space="preserve"> and/or educational discipline</w:t>
      </w:r>
    </w:p>
    <w:p w14:paraId="31B2715E" w14:textId="47D405FC" w:rsidR="00957C2B" w:rsidRPr="00111BA5" w:rsidRDefault="00957C2B" w:rsidP="00111BA5">
      <w:pPr>
        <w:pStyle w:val="ListParagraph"/>
        <w:numPr>
          <w:ilvl w:val="0"/>
          <w:numId w:val="8"/>
        </w:numPr>
        <w:spacing w:after="0" w:line="240" w:lineRule="auto"/>
        <w:rPr>
          <w:rFonts w:ascii="Times New Roman" w:hAnsi="Times New Roman" w:cs="Times New Roman"/>
          <w:b/>
        </w:rPr>
      </w:pPr>
      <w:r w:rsidRPr="00111BA5">
        <w:rPr>
          <w:rFonts w:ascii="Times New Roman" w:hAnsi="Times New Roman" w:cs="Times New Roman"/>
        </w:rPr>
        <w:t>Authorship of a textbook</w:t>
      </w:r>
      <w:r w:rsidR="007F7DC1" w:rsidRPr="00111BA5">
        <w:rPr>
          <w:rFonts w:ascii="Times New Roman" w:hAnsi="Times New Roman" w:cs="Times New Roman"/>
        </w:rPr>
        <w:t>, or chapter within a collection</w:t>
      </w:r>
    </w:p>
    <w:p w14:paraId="59E34785" w14:textId="064E5512" w:rsidR="00957C2B" w:rsidRPr="00111BA5" w:rsidRDefault="00957C2B" w:rsidP="00111BA5">
      <w:pPr>
        <w:spacing w:line="240" w:lineRule="auto"/>
        <w:rPr>
          <w:rFonts w:ascii="Times New Roman" w:hAnsi="Times New Roman" w:cs="Times New Roman"/>
          <w:bCs/>
          <w:iCs/>
        </w:rPr>
      </w:pPr>
    </w:p>
    <w:p w14:paraId="062254BB" w14:textId="4B0FB88C" w:rsidR="007F7DC1" w:rsidRPr="00111BA5" w:rsidRDefault="007F7DC1" w:rsidP="00111BA5">
      <w:pPr>
        <w:spacing w:line="240" w:lineRule="auto"/>
        <w:rPr>
          <w:rFonts w:ascii="Times New Roman" w:hAnsi="Times New Roman" w:cs="Times New Roman"/>
        </w:rPr>
      </w:pPr>
      <w:r w:rsidRPr="00111BA5">
        <w:rPr>
          <w:rFonts w:ascii="Times New Roman" w:hAnsi="Times New Roman" w:cs="Times New Roman"/>
          <w:bCs/>
          <w:iCs/>
        </w:rPr>
        <w:t xml:space="preserve">Higher Tier </w:t>
      </w:r>
      <w:r w:rsidRPr="00111BA5">
        <w:rPr>
          <w:rFonts w:ascii="Times New Roman" w:hAnsi="Times New Roman" w:cs="Times New Roman"/>
        </w:rPr>
        <w:t>evidence of Collaborative research</w:t>
      </w:r>
    </w:p>
    <w:p w14:paraId="3527A249" w14:textId="695251F4" w:rsidR="007F7DC1" w:rsidRPr="00111BA5" w:rsidRDefault="007F7DC1" w:rsidP="00111BA5">
      <w:pPr>
        <w:pStyle w:val="ListParagraph"/>
        <w:numPr>
          <w:ilvl w:val="0"/>
          <w:numId w:val="11"/>
        </w:numPr>
        <w:spacing w:line="240" w:lineRule="auto"/>
        <w:rPr>
          <w:rFonts w:ascii="Times New Roman" w:hAnsi="Times New Roman" w:cs="Times New Roman"/>
          <w:bCs/>
          <w:iCs/>
        </w:rPr>
      </w:pPr>
      <w:r w:rsidRPr="00111BA5">
        <w:rPr>
          <w:rFonts w:ascii="Times New Roman" w:hAnsi="Times New Roman" w:cs="Times New Roman"/>
          <w:bCs/>
          <w:iCs/>
        </w:rPr>
        <w:t>Submission and successful funding of a grant including funding for student research</w:t>
      </w:r>
    </w:p>
    <w:p w14:paraId="161EEF89" w14:textId="1FCF0381" w:rsidR="007F7DC1" w:rsidRPr="00111BA5" w:rsidRDefault="00111BA5" w:rsidP="00111BA5">
      <w:pPr>
        <w:pStyle w:val="ListParagraph"/>
        <w:numPr>
          <w:ilvl w:val="0"/>
          <w:numId w:val="11"/>
        </w:numPr>
        <w:spacing w:line="240" w:lineRule="auto"/>
        <w:rPr>
          <w:rFonts w:ascii="Times New Roman" w:hAnsi="Times New Roman" w:cs="Times New Roman"/>
          <w:bCs/>
          <w:iCs/>
        </w:rPr>
      </w:pPr>
      <w:r w:rsidRPr="00111BA5">
        <w:rPr>
          <w:rFonts w:ascii="Times New Roman" w:hAnsi="Times New Roman" w:cs="Times New Roman"/>
          <w:bCs/>
          <w:iCs/>
        </w:rPr>
        <w:t>Student receiving recognition at conference for outstanding poster or oral presentation</w:t>
      </w:r>
    </w:p>
    <w:p w14:paraId="63C634C4" w14:textId="35FD6687" w:rsidR="00111BA5" w:rsidRPr="00111BA5" w:rsidRDefault="00111BA5" w:rsidP="00111BA5">
      <w:pPr>
        <w:pStyle w:val="ListParagraph"/>
        <w:numPr>
          <w:ilvl w:val="0"/>
          <w:numId w:val="11"/>
        </w:numPr>
        <w:spacing w:line="240" w:lineRule="auto"/>
        <w:rPr>
          <w:rFonts w:ascii="Times New Roman" w:hAnsi="Times New Roman" w:cs="Times New Roman"/>
          <w:bCs/>
          <w:iCs/>
        </w:rPr>
      </w:pPr>
      <w:r w:rsidRPr="00111BA5">
        <w:rPr>
          <w:rFonts w:ascii="Times New Roman" w:hAnsi="Times New Roman" w:cs="Times New Roman"/>
          <w:bCs/>
          <w:iCs/>
        </w:rPr>
        <w:t>Student co-author on research publication</w:t>
      </w:r>
    </w:p>
    <w:bookmarkEnd w:id="0"/>
    <w:p w14:paraId="090A7D19" w14:textId="77777777" w:rsidR="00111BA5" w:rsidRDefault="00111BA5" w:rsidP="00B731DB">
      <w:pPr>
        <w:spacing w:line="360" w:lineRule="auto"/>
        <w:rPr>
          <w:rFonts w:ascii="Times New Roman" w:hAnsi="Times New Roman" w:cs="Times New Roman"/>
          <w:b/>
          <w:i/>
        </w:rPr>
      </w:pPr>
    </w:p>
    <w:p w14:paraId="7F444E74" w14:textId="241545E2" w:rsidR="005272FF" w:rsidRPr="00B731DB" w:rsidRDefault="005272FF" w:rsidP="00B731DB">
      <w:pPr>
        <w:spacing w:line="360" w:lineRule="auto"/>
        <w:rPr>
          <w:rFonts w:ascii="Times New Roman" w:hAnsi="Times New Roman" w:cs="Times New Roman"/>
        </w:rPr>
      </w:pPr>
      <w:r w:rsidRPr="00B731DB">
        <w:rPr>
          <w:rFonts w:ascii="Times New Roman" w:hAnsi="Times New Roman" w:cs="Times New Roman"/>
          <w:b/>
          <w:i/>
        </w:rPr>
        <w:t>Tenure/Promotion to Associate Professor</w:t>
      </w:r>
      <w:r w:rsidRPr="00B731DB">
        <w:rPr>
          <w:rFonts w:ascii="Times New Roman" w:hAnsi="Times New Roman" w:cs="Times New Roman"/>
          <w:i/>
        </w:rPr>
        <w:t>:</w:t>
      </w:r>
      <w:r w:rsidRPr="00B731DB">
        <w:rPr>
          <w:rFonts w:ascii="Times New Roman" w:hAnsi="Times New Roman" w:cs="Times New Roman"/>
        </w:rPr>
        <w:t xml:space="preserve"> Faculty at this level should provide evidence of meeting the </w:t>
      </w:r>
      <w:r w:rsidR="00A3493D">
        <w:rPr>
          <w:rFonts w:ascii="Times New Roman" w:hAnsi="Times New Roman" w:cs="Times New Roman"/>
        </w:rPr>
        <w:t xml:space="preserve">the majority of </w:t>
      </w:r>
      <w:r w:rsidR="00D63090" w:rsidRPr="00B731DB">
        <w:rPr>
          <w:rFonts w:ascii="Times New Roman" w:hAnsi="Times New Roman" w:cs="Times New Roman"/>
        </w:rPr>
        <w:t>criteria</w:t>
      </w:r>
      <w:r w:rsidR="00A3493D">
        <w:rPr>
          <w:rFonts w:ascii="Times New Roman" w:hAnsi="Times New Roman" w:cs="Times New Roman"/>
        </w:rPr>
        <w:t xml:space="preserve"> from Lower Tier in both professional achievement and student collaborative research.  In addition, the candidate should demonstrate ongoing Middle Tier (2-3 items </w:t>
      </w:r>
      <w:r w:rsidR="00240237">
        <w:rPr>
          <w:rFonts w:ascii="Times New Roman" w:hAnsi="Times New Roman" w:cs="Times New Roman"/>
        </w:rPr>
        <w:t xml:space="preserve">each </w:t>
      </w:r>
      <w:r w:rsidR="00A3493D">
        <w:rPr>
          <w:rFonts w:ascii="Times New Roman" w:hAnsi="Times New Roman" w:cs="Times New Roman"/>
        </w:rPr>
        <w:t>from Professional achievement and student research)</w:t>
      </w:r>
      <w:r w:rsidR="00240237">
        <w:rPr>
          <w:rFonts w:ascii="Times New Roman" w:hAnsi="Times New Roman" w:cs="Times New Roman"/>
        </w:rPr>
        <w:t xml:space="preserve"> and progress towards Higher Tier (no expectations of having met these)</w:t>
      </w:r>
      <w:r w:rsidR="00F672D0">
        <w:rPr>
          <w:rFonts w:ascii="Times New Roman" w:hAnsi="Times New Roman" w:cs="Times New Roman"/>
        </w:rPr>
        <w:t xml:space="preserve">. </w:t>
      </w:r>
      <w:r w:rsidR="00240237" w:rsidRPr="00B731DB">
        <w:rPr>
          <w:rFonts w:ascii="Times New Roman" w:hAnsi="Times New Roman" w:cs="Times New Roman"/>
        </w:rPr>
        <w:t>Typically,</w:t>
      </w:r>
      <w:r w:rsidRPr="00B731DB">
        <w:rPr>
          <w:rFonts w:ascii="Times New Roman" w:hAnsi="Times New Roman" w:cs="Times New Roman"/>
        </w:rPr>
        <w:t xml:space="preserve"> the program at this level may be narrowly focused and linked to the research done prior to joining the </w:t>
      </w:r>
      <w:r w:rsidR="00B156FA">
        <w:rPr>
          <w:rFonts w:ascii="Times New Roman" w:hAnsi="Times New Roman" w:cs="Times New Roman"/>
        </w:rPr>
        <w:t>University</w:t>
      </w:r>
      <w:r w:rsidRPr="00B731DB">
        <w:rPr>
          <w:rFonts w:ascii="Times New Roman" w:hAnsi="Times New Roman" w:cs="Times New Roman"/>
        </w:rPr>
        <w:t xml:space="preserve"> faculty (either graduate or post-doctoral research)</w:t>
      </w:r>
      <w:r w:rsidR="00F672D0" w:rsidRPr="00B731DB">
        <w:rPr>
          <w:rFonts w:ascii="Times New Roman" w:hAnsi="Times New Roman" w:cs="Times New Roman"/>
        </w:rPr>
        <w:t xml:space="preserve">. </w:t>
      </w:r>
      <w:r w:rsidRPr="00B731DB">
        <w:rPr>
          <w:rFonts w:ascii="Times New Roman" w:hAnsi="Times New Roman" w:cs="Times New Roman"/>
        </w:rPr>
        <w:t>Evidence should be presented</w:t>
      </w:r>
      <w:r w:rsidR="003737CD" w:rsidRPr="00B731DB">
        <w:rPr>
          <w:rFonts w:ascii="Times New Roman" w:hAnsi="Times New Roman" w:cs="Times New Roman"/>
        </w:rPr>
        <w:t xml:space="preserve"> showing that future research agendas will be independent from his or her dissertation adviser, perhaps by finding new collaborations.</w:t>
      </w:r>
    </w:p>
    <w:p w14:paraId="7A82C42E" w14:textId="2D3B24B5" w:rsidR="005272FF" w:rsidRPr="00B731DB" w:rsidRDefault="005272FF" w:rsidP="00B731DB">
      <w:pPr>
        <w:spacing w:line="360" w:lineRule="auto"/>
        <w:rPr>
          <w:rFonts w:ascii="Times New Roman" w:hAnsi="Times New Roman" w:cs="Times New Roman"/>
        </w:rPr>
      </w:pPr>
      <w:r w:rsidRPr="00B731DB">
        <w:rPr>
          <w:rFonts w:ascii="Times New Roman" w:hAnsi="Times New Roman" w:cs="Times New Roman"/>
          <w:b/>
          <w:i/>
        </w:rPr>
        <w:t>Promotion to Full Professor</w:t>
      </w:r>
      <w:r w:rsidRPr="00B731DB">
        <w:rPr>
          <w:rFonts w:ascii="Times New Roman" w:hAnsi="Times New Roman" w:cs="Times New Roman"/>
          <w:i/>
        </w:rPr>
        <w:t>:</w:t>
      </w:r>
      <w:r w:rsidRPr="00B731DB">
        <w:rPr>
          <w:rFonts w:ascii="Times New Roman" w:hAnsi="Times New Roman" w:cs="Times New Roman"/>
        </w:rPr>
        <w:t xml:space="preserve"> Faculty at this level should provide evidence of meeting the </w:t>
      </w:r>
      <w:r w:rsidR="00D63090" w:rsidRPr="00B731DB">
        <w:rPr>
          <w:rFonts w:ascii="Times New Roman" w:hAnsi="Times New Roman" w:cs="Times New Roman"/>
        </w:rPr>
        <w:t>criteria</w:t>
      </w:r>
      <w:r w:rsidRPr="00B731DB">
        <w:rPr>
          <w:rFonts w:ascii="Times New Roman" w:hAnsi="Times New Roman" w:cs="Times New Roman"/>
        </w:rPr>
        <w:t xml:space="preserve"> described above and that their program has expanded in a meaningful way. Typically</w:t>
      </w:r>
      <w:r w:rsidR="00240237">
        <w:rPr>
          <w:rFonts w:ascii="Times New Roman" w:hAnsi="Times New Roman" w:cs="Times New Roman"/>
        </w:rPr>
        <w:t>,</w:t>
      </w:r>
      <w:r w:rsidRPr="00B731DB">
        <w:rPr>
          <w:rFonts w:ascii="Times New Roman" w:hAnsi="Times New Roman" w:cs="Times New Roman"/>
        </w:rPr>
        <w:t xml:space="preserve"> a program at this level may be broader or more substantial or significantly different from the faculty member’s original line of investigation or include a second line of investigation that may be pedagogical in nature</w:t>
      </w:r>
      <w:r w:rsidR="00F672D0" w:rsidRPr="00B731DB">
        <w:rPr>
          <w:rFonts w:ascii="Times New Roman" w:hAnsi="Times New Roman" w:cs="Times New Roman"/>
        </w:rPr>
        <w:t xml:space="preserve">. </w:t>
      </w:r>
      <w:r w:rsidR="003737CD" w:rsidRPr="00B731DB">
        <w:rPr>
          <w:rFonts w:ascii="Times New Roman" w:hAnsi="Times New Roman" w:cs="Times New Roman"/>
        </w:rPr>
        <w:t>The rate and form of the professional achievement may vary over time, but evidence of greater visibility and continued engagement in this area is vital</w:t>
      </w:r>
      <w:r w:rsidR="00F672D0" w:rsidRPr="00B731DB">
        <w:rPr>
          <w:rFonts w:ascii="Times New Roman" w:hAnsi="Times New Roman" w:cs="Times New Roman"/>
        </w:rPr>
        <w:t>.</w:t>
      </w:r>
      <w:r w:rsidR="00F672D0">
        <w:rPr>
          <w:rFonts w:ascii="Times New Roman" w:hAnsi="Times New Roman" w:cs="Times New Roman"/>
        </w:rPr>
        <w:t xml:space="preserve"> </w:t>
      </w:r>
      <w:r w:rsidR="008A619E">
        <w:rPr>
          <w:rFonts w:ascii="Times New Roman" w:hAnsi="Times New Roman" w:cs="Times New Roman"/>
        </w:rPr>
        <w:t>There is an expectation of at least one original item from Higher Tier</w:t>
      </w:r>
      <w:r w:rsidR="005A195C">
        <w:rPr>
          <w:rFonts w:ascii="Times New Roman" w:hAnsi="Times New Roman" w:cs="Times New Roman"/>
        </w:rPr>
        <w:t xml:space="preserve"> Professional Achievement</w:t>
      </w:r>
      <w:r w:rsidR="008A619E">
        <w:rPr>
          <w:rFonts w:ascii="Times New Roman" w:hAnsi="Times New Roman" w:cs="Times New Roman"/>
        </w:rPr>
        <w:t xml:space="preserve">, as well as continued </w:t>
      </w:r>
      <w:r w:rsidR="005A195C">
        <w:rPr>
          <w:rFonts w:ascii="Times New Roman" w:hAnsi="Times New Roman" w:cs="Times New Roman"/>
        </w:rPr>
        <w:t>growth in Lower and Middle Tiers.</w:t>
      </w:r>
    </w:p>
    <w:p w14:paraId="6E429259" w14:textId="6EA588C7" w:rsidR="003E7401" w:rsidRPr="003B4A43" w:rsidRDefault="0061726E" w:rsidP="003B4A43">
      <w:pPr>
        <w:spacing w:line="360" w:lineRule="auto"/>
        <w:rPr>
          <w:rFonts w:ascii="Times New Roman" w:hAnsi="Times New Roman" w:cs="Times New Roman"/>
        </w:rPr>
      </w:pPr>
      <w:r w:rsidRPr="00B731DB">
        <w:rPr>
          <w:rFonts w:ascii="Times New Roman" w:hAnsi="Times New Roman" w:cs="Times New Roman"/>
        </w:rPr>
        <w:t>Colleague evaluations for the area of professional achievement will be made primarily from discussions with the candidate, knowledge of their activities, and the context of conducting physics research at small undergraduate liberal arts colleges</w:t>
      </w:r>
      <w:r w:rsidR="00F672D0" w:rsidRPr="00B731DB">
        <w:rPr>
          <w:rFonts w:ascii="Times New Roman" w:hAnsi="Times New Roman" w:cs="Times New Roman"/>
        </w:rPr>
        <w:t xml:space="preserve">. </w:t>
      </w:r>
    </w:p>
    <w:p w14:paraId="02F8565C" w14:textId="77777777" w:rsidR="0088116E" w:rsidRPr="00B731DB" w:rsidRDefault="003737CD" w:rsidP="00B731DB">
      <w:pPr>
        <w:pStyle w:val="Subtitle"/>
        <w:spacing w:line="360" w:lineRule="auto"/>
        <w:rPr>
          <w:rFonts w:ascii="Times New Roman" w:hAnsi="Times New Roman" w:cs="Times New Roman"/>
          <w:b/>
          <w:color w:val="auto"/>
        </w:rPr>
      </w:pPr>
      <w:r w:rsidRPr="00B731DB">
        <w:rPr>
          <w:rFonts w:ascii="Times New Roman" w:hAnsi="Times New Roman" w:cs="Times New Roman"/>
          <w:b/>
          <w:color w:val="auto"/>
        </w:rPr>
        <w:t>Service</w:t>
      </w:r>
    </w:p>
    <w:p w14:paraId="0F4F203E" w14:textId="623CCBAD" w:rsidR="0088116E" w:rsidRPr="00B731DB" w:rsidRDefault="00ED3F3F" w:rsidP="00B731DB">
      <w:pPr>
        <w:spacing w:line="360" w:lineRule="auto"/>
        <w:rPr>
          <w:rFonts w:ascii="Times New Roman" w:hAnsi="Times New Roman" w:cs="Times New Roman"/>
        </w:rPr>
      </w:pPr>
      <w:r>
        <w:rPr>
          <w:rFonts w:ascii="Times New Roman" w:hAnsi="Times New Roman" w:cs="Times New Roman"/>
        </w:rPr>
        <w:t>Service activities are those that help further the mission of the University, contribute to one’s profession, or show involvement in the community</w:t>
      </w:r>
      <w:r w:rsidR="00F672D0">
        <w:rPr>
          <w:rFonts w:ascii="Times New Roman" w:hAnsi="Times New Roman" w:cs="Times New Roman"/>
        </w:rPr>
        <w:t xml:space="preserve">. </w:t>
      </w:r>
      <w:r>
        <w:rPr>
          <w:rFonts w:ascii="Times New Roman" w:hAnsi="Times New Roman" w:cs="Times New Roman"/>
        </w:rPr>
        <w:t>Physics</w:t>
      </w:r>
      <w:r w:rsidR="003737CD" w:rsidRPr="00B731DB">
        <w:rPr>
          <w:rFonts w:ascii="Times New Roman" w:hAnsi="Times New Roman" w:cs="Times New Roman"/>
        </w:rPr>
        <w:t xml:space="preserve"> faculty are expected to participate equitably in departmental and </w:t>
      </w:r>
      <w:r w:rsidR="00B156FA">
        <w:rPr>
          <w:rFonts w:ascii="Times New Roman" w:hAnsi="Times New Roman" w:cs="Times New Roman"/>
        </w:rPr>
        <w:t>University</w:t>
      </w:r>
      <w:r w:rsidR="003737CD" w:rsidRPr="00B731DB">
        <w:rPr>
          <w:rFonts w:ascii="Times New Roman" w:hAnsi="Times New Roman" w:cs="Times New Roman"/>
        </w:rPr>
        <w:t xml:space="preserve">-wide service. </w:t>
      </w:r>
      <w:r w:rsidR="00C016BA" w:rsidRPr="00B731DB">
        <w:rPr>
          <w:rFonts w:ascii="Times New Roman" w:hAnsi="Times New Roman" w:cs="Times New Roman"/>
        </w:rPr>
        <w:t>The activities</w:t>
      </w:r>
      <w:r w:rsidR="0003256D" w:rsidRPr="00B731DB">
        <w:rPr>
          <w:rFonts w:ascii="Times New Roman" w:hAnsi="Times New Roman" w:cs="Times New Roman"/>
        </w:rPr>
        <w:t xml:space="preserve"> </w:t>
      </w:r>
      <w:r w:rsidR="00C016BA" w:rsidRPr="00B731DB">
        <w:rPr>
          <w:rFonts w:ascii="Times New Roman" w:hAnsi="Times New Roman" w:cs="Times New Roman"/>
        </w:rPr>
        <w:t xml:space="preserve">include regular and effective participation on </w:t>
      </w:r>
      <w:r w:rsidR="00C016BA" w:rsidRPr="00B731DB">
        <w:rPr>
          <w:rFonts w:ascii="Times New Roman" w:hAnsi="Times New Roman" w:cs="Times New Roman"/>
        </w:rPr>
        <w:lastRenderedPageBreak/>
        <w:t>college-wide</w:t>
      </w:r>
      <w:r w:rsidR="00B156FA">
        <w:rPr>
          <w:rFonts w:ascii="Times New Roman" w:hAnsi="Times New Roman" w:cs="Times New Roman"/>
        </w:rPr>
        <w:t xml:space="preserve"> and university wide</w:t>
      </w:r>
      <w:r w:rsidR="00C016BA" w:rsidRPr="00B731DB">
        <w:rPr>
          <w:rFonts w:ascii="Times New Roman" w:hAnsi="Times New Roman" w:cs="Times New Roman"/>
        </w:rPr>
        <w:t xml:space="preserve"> standing committees of the faculty, effective participation in departmental and divisional affairs, work with student activities and organizations, direct assistance with the external relations work of the </w:t>
      </w:r>
      <w:r w:rsidR="00B156FA">
        <w:rPr>
          <w:rFonts w:ascii="Times New Roman" w:hAnsi="Times New Roman" w:cs="Times New Roman"/>
        </w:rPr>
        <w:t>University</w:t>
      </w:r>
      <w:r w:rsidR="00C016BA" w:rsidRPr="00B731DB">
        <w:rPr>
          <w:rFonts w:ascii="Times New Roman" w:hAnsi="Times New Roman" w:cs="Times New Roman"/>
        </w:rPr>
        <w:t>, service to the external community using professional knowledge and skills, service to a professional society/organization, and service to the online and continuing education division.</w:t>
      </w:r>
    </w:p>
    <w:p w14:paraId="62AA5F1E" w14:textId="761B00BF" w:rsidR="003737CD" w:rsidRDefault="0003256D" w:rsidP="00B731DB">
      <w:pPr>
        <w:spacing w:line="360" w:lineRule="auto"/>
        <w:rPr>
          <w:rFonts w:ascii="Times New Roman" w:hAnsi="Times New Roman" w:cs="Times New Roman"/>
        </w:rPr>
      </w:pPr>
      <w:r w:rsidRPr="00B731DB">
        <w:rPr>
          <w:rFonts w:ascii="Times New Roman" w:hAnsi="Times New Roman" w:cs="Times New Roman"/>
        </w:rPr>
        <w:t>Physics d</w:t>
      </w:r>
      <w:r w:rsidR="0088116E" w:rsidRPr="00B731DB">
        <w:rPr>
          <w:rFonts w:ascii="Times New Roman" w:hAnsi="Times New Roman" w:cs="Times New Roman"/>
        </w:rPr>
        <w:t xml:space="preserve">epartmental service includes activities such as advising the Society of Physics Students chapter, organizing teaching assistants, </w:t>
      </w:r>
      <w:r w:rsidR="00F672D0" w:rsidRPr="00B731DB">
        <w:rPr>
          <w:rFonts w:ascii="Times New Roman" w:hAnsi="Times New Roman" w:cs="Times New Roman"/>
        </w:rPr>
        <w:t>assessing,</w:t>
      </w:r>
      <w:r w:rsidR="0088116E" w:rsidRPr="00B731DB">
        <w:rPr>
          <w:rFonts w:ascii="Times New Roman" w:hAnsi="Times New Roman" w:cs="Times New Roman"/>
        </w:rPr>
        <w:t xml:space="preserve"> and revising curriculum, and participation in various other departmental projects. </w:t>
      </w:r>
      <w:r w:rsidR="00424CEA" w:rsidRPr="00B731DB">
        <w:rPr>
          <w:rFonts w:ascii="Times New Roman" w:hAnsi="Times New Roman" w:cs="Times New Roman"/>
        </w:rPr>
        <w:t xml:space="preserve">However, the faculty member should make it clear how these activities are distinct from professional </w:t>
      </w:r>
      <w:r w:rsidR="00D63090" w:rsidRPr="00B731DB">
        <w:rPr>
          <w:rFonts w:ascii="Times New Roman" w:hAnsi="Times New Roman" w:cs="Times New Roman"/>
        </w:rPr>
        <w:t>achievement activities</w:t>
      </w:r>
      <w:r w:rsidR="00424CEA" w:rsidRPr="00B731DB">
        <w:rPr>
          <w:rFonts w:ascii="Times New Roman" w:hAnsi="Times New Roman" w:cs="Times New Roman"/>
        </w:rPr>
        <w:t>.</w:t>
      </w:r>
    </w:p>
    <w:p w14:paraId="504C284E" w14:textId="5B0AD3F2" w:rsidR="00ED3F3F" w:rsidRDefault="00ED3F3F" w:rsidP="00B731DB">
      <w:pPr>
        <w:spacing w:line="360" w:lineRule="auto"/>
        <w:rPr>
          <w:rFonts w:ascii="Times New Roman" w:hAnsi="Times New Roman" w:cs="Times New Roman"/>
        </w:rPr>
      </w:pPr>
      <w:r>
        <w:rPr>
          <w:rFonts w:ascii="Times New Roman" w:hAnsi="Times New Roman" w:cs="Times New Roman"/>
        </w:rPr>
        <w:t>Examples of Service</w:t>
      </w:r>
    </w:p>
    <w:p w14:paraId="4971E01A" w14:textId="1683D60A" w:rsidR="00ED3F3F" w:rsidRDefault="00ED3F3F" w:rsidP="00B731DB">
      <w:pPr>
        <w:spacing w:line="360" w:lineRule="auto"/>
        <w:rPr>
          <w:rFonts w:ascii="Times New Roman" w:hAnsi="Times New Roman" w:cs="Times New Roman"/>
        </w:rPr>
      </w:pPr>
      <w:r>
        <w:rPr>
          <w:rFonts w:ascii="Times New Roman" w:hAnsi="Times New Roman" w:cs="Times New Roman"/>
        </w:rPr>
        <w:t>Lower tier Service</w:t>
      </w:r>
    </w:p>
    <w:p w14:paraId="5AB6FAA0" w14:textId="4F0B2937" w:rsidR="00ED3F3F" w:rsidRPr="00ED3F3F" w:rsidRDefault="00ED3F3F" w:rsidP="005A195C">
      <w:pPr>
        <w:pStyle w:val="ListParagraph"/>
        <w:numPr>
          <w:ilvl w:val="0"/>
          <w:numId w:val="12"/>
        </w:numPr>
        <w:spacing w:line="240" w:lineRule="auto"/>
        <w:rPr>
          <w:rFonts w:ascii="Times New Roman" w:hAnsi="Times New Roman" w:cs="Times New Roman"/>
          <w:b/>
        </w:rPr>
      </w:pPr>
      <w:r>
        <w:rPr>
          <w:rFonts w:ascii="Times New Roman" w:hAnsi="Times New Roman" w:cs="Times New Roman"/>
          <w:bCs/>
        </w:rPr>
        <w:t>Effective participation in Departmental affairs – attending departmental meetings and events</w:t>
      </w:r>
    </w:p>
    <w:p w14:paraId="7A391492" w14:textId="30881D0F" w:rsidR="00ED3F3F" w:rsidRPr="002B02E2" w:rsidRDefault="00ED3F3F" w:rsidP="005A195C">
      <w:pPr>
        <w:pStyle w:val="ListParagraph"/>
        <w:numPr>
          <w:ilvl w:val="0"/>
          <w:numId w:val="12"/>
        </w:numPr>
        <w:spacing w:line="240" w:lineRule="auto"/>
        <w:rPr>
          <w:rFonts w:ascii="Times New Roman" w:hAnsi="Times New Roman" w:cs="Times New Roman"/>
          <w:b/>
        </w:rPr>
      </w:pPr>
      <w:r>
        <w:rPr>
          <w:rFonts w:ascii="Times New Roman" w:hAnsi="Times New Roman" w:cs="Times New Roman"/>
          <w:bCs/>
        </w:rPr>
        <w:t>Demonstrated work with student activities and organizations</w:t>
      </w:r>
      <w:r w:rsidR="002B02E2">
        <w:rPr>
          <w:rFonts w:ascii="Times New Roman" w:hAnsi="Times New Roman" w:cs="Times New Roman"/>
          <w:bCs/>
        </w:rPr>
        <w:t>, such as SPS</w:t>
      </w:r>
    </w:p>
    <w:p w14:paraId="70CFA37C" w14:textId="5E8C5170" w:rsidR="002B02E2" w:rsidRPr="002B02E2" w:rsidRDefault="002B02E2" w:rsidP="005A195C">
      <w:pPr>
        <w:pStyle w:val="ListParagraph"/>
        <w:numPr>
          <w:ilvl w:val="0"/>
          <w:numId w:val="12"/>
        </w:numPr>
        <w:spacing w:line="240" w:lineRule="auto"/>
        <w:rPr>
          <w:rFonts w:ascii="Times New Roman" w:hAnsi="Times New Roman" w:cs="Times New Roman"/>
          <w:b/>
        </w:rPr>
      </w:pPr>
      <w:r>
        <w:rPr>
          <w:rFonts w:ascii="Times New Roman" w:hAnsi="Times New Roman" w:cs="Times New Roman"/>
          <w:bCs/>
        </w:rPr>
        <w:t>Membership in professional organizations</w:t>
      </w:r>
    </w:p>
    <w:p w14:paraId="481D246E" w14:textId="1DFCDB40" w:rsidR="002B02E2" w:rsidRDefault="002B02E2" w:rsidP="005A195C">
      <w:pPr>
        <w:spacing w:line="240" w:lineRule="auto"/>
        <w:rPr>
          <w:rFonts w:ascii="Times New Roman" w:hAnsi="Times New Roman" w:cs="Times New Roman"/>
          <w:bCs/>
        </w:rPr>
      </w:pPr>
      <w:r>
        <w:rPr>
          <w:rFonts w:ascii="Times New Roman" w:hAnsi="Times New Roman" w:cs="Times New Roman"/>
          <w:bCs/>
        </w:rPr>
        <w:t>Middle Tier Service</w:t>
      </w:r>
    </w:p>
    <w:p w14:paraId="0873F06F" w14:textId="4F575238" w:rsidR="002B02E2" w:rsidRDefault="002B02E2" w:rsidP="005A195C">
      <w:pPr>
        <w:pStyle w:val="ListParagraph"/>
        <w:numPr>
          <w:ilvl w:val="0"/>
          <w:numId w:val="13"/>
        </w:numPr>
        <w:spacing w:line="240" w:lineRule="auto"/>
        <w:rPr>
          <w:rFonts w:ascii="Times New Roman" w:hAnsi="Times New Roman" w:cs="Times New Roman"/>
          <w:bCs/>
        </w:rPr>
      </w:pPr>
      <w:r>
        <w:rPr>
          <w:rFonts w:ascii="Times New Roman" w:hAnsi="Times New Roman" w:cs="Times New Roman"/>
          <w:bCs/>
        </w:rPr>
        <w:t>Direct assistance with external relations of the University (recruiting students, speaking to alumni groups, administering or grading scholarship weekend exams)</w:t>
      </w:r>
    </w:p>
    <w:p w14:paraId="63FA0E2D" w14:textId="22233318" w:rsidR="002B02E2" w:rsidRDefault="002B02E2" w:rsidP="005A195C">
      <w:pPr>
        <w:pStyle w:val="ListParagraph"/>
        <w:numPr>
          <w:ilvl w:val="0"/>
          <w:numId w:val="13"/>
        </w:numPr>
        <w:spacing w:line="240" w:lineRule="auto"/>
        <w:rPr>
          <w:rFonts w:ascii="Times New Roman" w:hAnsi="Times New Roman" w:cs="Times New Roman"/>
          <w:bCs/>
        </w:rPr>
      </w:pPr>
      <w:r>
        <w:rPr>
          <w:rFonts w:ascii="Times New Roman" w:hAnsi="Times New Roman" w:cs="Times New Roman"/>
          <w:bCs/>
        </w:rPr>
        <w:t>Leading activity for iFOCUS</w:t>
      </w:r>
      <w:r w:rsidR="00ED2353">
        <w:rPr>
          <w:rFonts w:ascii="Times New Roman" w:hAnsi="Times New Roman" w:cs="Times New Roman"/>
          <w:bCs/>
        </w:rPr>
        <w:t xml:space="preserve"> (pre-orientation camp for new Linfield students, in which the faculty member leads a research-based, hands-on experience) on behalf of the Physics department</w:t>
      </w:r>
    </w:p>
    <w:p w14:paraId="3B6BD3CB" w14:textId="52B0CA29" w:rsidR="00ED2353" w:rsidRDefault="00ED2353" w:rsidP="005A195C">
      <w:pPr>
        <w:pStyle w:val="ListParagraph"/>
        <w:numPr>
          <w:ilvl w:val="0"/>
          <w:numId w:val="13"/>
        </w:numPr>
        <w:spacing w:line="240" w:lineRule="auto"/>
        <w:rPr>
          <w:rFonts w:ascii="Times New Roman" w:hAnsi="Times New Roman" w:cs="Times New Roman"/>
          <w:bCs/>
        </w:rPr>
      </w:pPr>
      <w:r>
        <w:rPr>
          <w:rFonts w:ascii="Times New Roman" w:hAnsi="Times New Roman" w:cs="Times New Roman"/>
          <w:bCs/>
        </w:rPr>
        <w:t>Participation on standing committees for the university or for the College of Arts and Sciences.</w:t>
      </w:r>
    </w:p>
    <w:p w14:paraId="6348642E" w14:textId="46E3DAF3" w:rsidR="00ED2353" w:rsidRDefault="00ED2353" w:rsidP="005A195C">
      <w:pPr>
        <w:pStyle w:val="ListParagraph"/>
        <w:numPr>
          <w:ilvl w:val="0"/>
          <w:numId w:val="13"/>
        </w:numPr>
        <w:spacing w:line="240" w:lineRule="auto"/>
        <w:rPr>
          <w:rFonts w:ascii="Times New Roman" w:hAnsi="Times New Roman" w:cs="Times New Roman"/>
          <w:bCs/>
        </w:rPr>
      </w:pPr>
      <w:r>
        <w:rPr>
          <w:rFonts w:ascii="Times New Roman" w:hAnsi="Times New Roman" w:cs="Times New Roman"/>
          <w:bCs/>
        </w:rPr>
        <w:t>Participation in ad-hoc committees, including search committees</w:t>
      </w:r>
    </w:p>
    <w:p w14:paraId="2E5380D5" w14:textId="5444F041" w:rsidR="00ED2353" w:rsidRDefault="00ED2353" w:rsidP="005A195C">
      <w:pPr>
        <w:pStyle w:val="ListParagraph"/>
        <w:numPr>
          <w:ilvl w:val="0"/>
          <w:numId w:val="13"/>
        </w:numPr>
        <w:spacing w:line="240" w:lineRule="auto"/>
        <w:rPr>
          <w:rFonts w:ascii="Times New Roman" w:hAnsi="Times New Roman" w:cs="Times New Roman"/>
          <w:bCs/>
        </w:rPr>
      </w:pPr>
      <w:r>
        <w:rPr>
          <w:rFonts w:ascii="Times New Roman" w:hAnsi="Times New Roman" w:cs="Times New Roman"/>
          <w:bCs/>
        </w:rPr>
        <w:t xml:space="preserve">Editing articles on behalf of </w:t>
      </w:r>
      <w:r w:rsidR="00403442">
        <w:rPr>
          <w:rFonts w:ascii="Times New Roman" w:hAnsi="Times New Roman" w:cs="Times New Roman"/>
          <w:bCs/>
        </w:rPr>
        <w:t>scientific</w:t>
      </w:r>
      <w:r>
        <w:rPr>
          <w:rFonts w:ascii="Times New Roman" w:hAnsi="Times New Roman" w:cs="Times New Roman"/>
          <w:bCs/>
        </w:rPr>
        <w:t xml:space="preserve"> journals</w:t>
      </w:r>
    </w:p>
    <w:p w14:paraId="73C1C461" w14:textId="713739C3" w:rsidR="00403442" w:rsidRDefault="00403442" w:rsidP="005A195C">
      <w:pPr>
        <w:pStyle w:val="ListParagraph"/>
        <w:numPr>
          <w:ilvl w:val="0"/>
          <w:numId w:val="13"/>
        </w:numPr>
        <w:spacing w:line="240" w:lineRule="auto"/>
        <w:rPr>
          <w:rFonts w:ascii="Times New Roman" w:hAnsi="Times New Roman" w:cs="Times New Roman"/>
          <w:bCs/>
        </w:rPr>
      </w:pPr>
      <w:r>
        <w:rPr>
          <w:rFonts w:ascii="Times New Roman" w:hAnsi="Times New Roman" w:cs="Times New Roman"/>
          <w:bCs/>
        </w:rPr>
        <w:t>Give public lectures to community groups or participate in community activities</w:t>
      </w:r>
    </w:p>
    <w:p w14:paraId="6F7FB9D5" w14:textId="77777777" w:rsidR="005A195C" w:rsidRDefault="005A195C" w:rsidP="005A195C">
      <w:pPr>
        <w:spacing w:line="240" w:lineRule="auto"/>
        <w:rPr>
          <w:rFonts w:ascii="Times New Roman" w:hAnsi="Times New Roman" w:cs="Times New Roman"/>
          <w:bCs/>
        </w:rPr>
      </w:pPr>
    </w:p>
    <w:p w14:paraId="19D6127A" w14:textId="0D96DBED" w:rsidR="00ED2353" w:rsidRDefault="00ED2353" w:rsidP="005A195C">
      <w:pPr>
        <w:spacing w:line="240" w:lineRule="auto"/>
        <w:rPr>
          <w:rFonts w:ascii="Times New Roman" w:hAnsi="Times New Roman" w:cs="Times New Roman"/>
          <w:bCs/>
        </w:rPr>
      </w:pPr>
      <w:r>
        <w:rPr>
          <w:rFonts w:ascii="Times New Roman" w:hAnsi="Times New Roman" w:cs="Times New Roman"/>
          <w:bCs/>
        </w:rPr>
        <w:t>Higher Tier Service</w:t>
      </w:r>
    </w:p>
    <w:p w14:paraId="1A4E8E56" w14:textId="7FDC25AD" w:rsidR="00ED2353" w:rsidRDefault="00ED2353" w:rsidP="005A195C">
      <w:pPr>
        <w:pStyle w:val="ListParagraph"/>
        <w:numPr>
          <w:ilvl w:val="0"/>
          <w:numId w:val="14"/>
        </w:numPr>
        <w:spacing w:line="240" w:lineRule="auto"/>
        <w:rPr>
          <w:rFonts w:ascii="Times New Roman" w:hAnsi="Times New Roman" w:cs="Times New Roman"/>
          <w:bCs/>
        </w:rPr>
      </w:pPr>
      <w:r>
        <w:rPr>
          <w:rFonts w:ascii="Times New Roman" w:hAnsi="Times New Roman" w:cs="Times New Roman"/>
          <w:bCs/>
        </w:rPr>
        <w:t>Appointment as Department or Program chair</w:t>
      </w:r>
    </w:p>
    <w:p w14:paraId="3B9E670B" w14:textId="13429A95" w:rsidR="00ED2353" w:rsidRDefault="00403442" w:rsidP="005A195C">
      <w:pPr>
        <w:pStyle w:val="ListParagraph"/>
        <w:numPr>
          <w:ilvl w:val="0"/>
          <w:numId w:val="14"/>
        </w:numPr>
        <w:spacing w:line="240" w:lineRule="auto"/>
        <w:rPr>
          <w:rFonts w:ascii="Times New Roman" w:hAnsi="Times New Roman" w:cs="Times New Roman"/>
          <w:bCs/>
        </w:rPr>
      </w:pPr>
      <w:r>
        <w:rPr>
          <w:rFonts w:ascii="Times New Roman" w:hAnsi="Times New Roman" w:cs="Times New Roman"/>
          <w:bCs/>
        </w:rPr>
        <w:t>Leadership involving a professional society/organization</w:t>
      </w:r>
    </w:p>
    <w:p w14:paraId="0A4F75E9" w14:textId="02ACABE2" w:rsidR="00403442" w:rsidRDefault="00403442" w:rsidP="005A195C">
      <w:pPr>
        <w:pStyle w:val="ListParagraph"/>
        <w:numPr>
          <w:ilvl w:val="0"/>
          <w:numId w:val="14"/>
        </w:numPr>
        <w:spacing w:line="240" w:lineRule="auto"/>
        <w:rPr>
          <w:rFonts w:ascii="Times New Roman" w:hAnsi="Times New Roman" w:cs="Times New Roman"/>
          <w:bCs/>
        </w:rPr>
      </w:pPr>
      <w:r>
        <w:rPr>
          <w:rFonts w:ascii="Times New Roman" w:hAnsi="Times New Roman" w:cs="Times New Roman"/>
          <w:bCs/>
        </w:rPr>
        <w:t xml:space="preserve">Chair or leadership position for </w:t>
      </w:r>
      <w:r w:rsidR="005A195C">
        <w:rPr>
          <w:rFonts w:ascii="Times New Roman" w:hAnsi="Times New Roman" w:cs="Times New Roman"/>
          <w:bCs/>
        </w:rPr>
        <w:t>university</w:t>
      </w:r>
      <w:r>
        <w:rPr>
          <w:rFonts w:ascii="Times New Roman" w:hAnsi="Times New Roman" w:cs="Times New Roman"/>
          <w:bCs/>
        </w:rPr>
        <w:t xml:space="preserve"> wide committee or standing committee for the College of Arts and Sciences</w:t>
      </w:r>
    </w:p>
    <w:p w14:paraId="7B6ACCC1" w14:textId="42DDEC52" w:rsidR="00403442" w:rsidRPr="00403442" w:rsidRDefault="00403442" w:rsidP="005A195C">
      <w:pPr>
        <w:pStyle w:val="ListParagraph"/>
        <w:numPr>
          <w:ilvl w:val="0"/>
          <w:numId w:val="14"/>
        </w:numPr>
        <w:spacing w:line="240" w:lineRule="auto"/>
        <w:rPr>
          <w:rFonts w:ascii="Times New Roman" w:hAnsi="Times New Roman" w:cs="Times New Roman"/>
          <w:bCs/>
        </w:rPr>
      </w:pPr>
      <w:r>
        <w:rPr>
          <w:rFonts w:ascii="Times New Roman" w:hAnsi="Times New Roman" w:cs="Times New Roman"/>
          <w:bCs/>
        </w:rPr>
        <w:t>Other high-level University related service, such as taskforce or administrative positions</w:t>
      </w:r>
    </w:p>
    <w:p w14:paraId="3D0FDCF0" w14:textId="51A4AEE0" w:rsidR="003737CD" w:rsidRPr="00B731DB" w:rsidRDefault="003737CD" w:rsidP="00B731DB">
      <w:pPr>
        <w:spacing w:line="360" w:lineRule="auto"/>
        <w:rPr>
          <w:rFonts w:ascii="Times New Roman" w:hAnsi="Times New Roman" w:cs="Times New Roman"/>
        </w:rPr>
      </w:pPr>
      <w:r w:rsidRPr="00B731DB">
        <w:rPr>
          <w:rFonts w:ascii="Times New Roman" w:hAnsi="Times New Roman" w:cs="Times New Roman"/>
          <w:b/>
          <w:i/>
        </w:rPr>
        <w:t>Tenure/Promotion to Associate Professor</w:t>
      </w:r>
      <w:r w:rsidRPr="00B731DB">
        <w:rPr>
          <w:rFonts w:ascii="Times New Roman" w:hAnsi="Times New Roman" w:cs="Times New Roman"/>
          <w:i/>
        </w:rPr>
        <w:t>:</w:t>
      </w:r>
      <w:r w:rsidRPr="00B731DB">
        <w:rPr>
          <w:rFonts w:ascii="Times New Roman" w:hAnsi="Times New Roman" w:cs="Times New Roman"/>
        </w:rPr>
        <w:t xml:space="preserve"> </w:t>
      </w:r>
      <w:r w:rsidR="00403442">
        <w:rPr>
          <w:rFonts w:ascii="Times New Roman" w:hAnsi="Times New Roman" w:cs="Times New Roman"/>
        </w:rPr>
        <w:t xml:space="preserve">Candidates for promotion or tenure </w:t>
      </w:r>
      <w:r w:rsidRPr="00B731DB">
        <w:rPr>
          <w:rFonts w:ascii="Times New Roman" w:hAnsi="Times New Roman" w:cs="Times New Roman"/>
        </w:rPr>
        <w:t xml:space="preserve">should </w:t>
      </w:r>
      <w:r w:rsidR="00403442">
        <w:rPr>
          <w:rFonts w:ascii="Times New Roman" w:hAnsi="Times New Roman" w:cs="Times New Roman"/>
        </w:rPr>
        <w:t>demonstrate ongoing Lower Tier Service and some Middle Tier service</w:t>
      </w:r>
      <w:r w:rsidR="00F672D0">
        <w:rPr>
          <w:rFonts w:ascii="Times New Roman" w:hAnsi="Times New Roman" w:cs="Times New Roman"/>
        </w:rPr>
        <w:t xml:space="preserve">. </w:t>
      </w:r>
      <w:r w:rsidR="00403442">
        <w:rPr>
          <w:rFonts w:ascii="Times New Roman" w:hAnsi="Times New Roman" w:cs="Times New Roman"/>
        </w:rPr>
        <w:t>It should be noted, however, that t</w:t>
      </w:r>
      <w:r w:rsidR="0003256D" w:rsidRPr="00B731DB">
        <w:rPr>
          <w:rFonts w:ascii="Times New Roman" w:hAnsi="Times New Roman" w:cs="Times New Roman"/>
        </w:rPr>
        <w:t>he department strongly recommends that new faculty delay service commitments for the first few years in order to establish effective teaching practices and sustainable research programs.</w:t>
      </w:r>
    </w:p>
    <w:p w14:paraId="4DD148A8" w14:textId="62F205FB" w:rsidR="008E7F43" w:rsidRPr="00B731DB" w:rsidRDefault="003737CD" w:rsidP="00B731DB">
      <w:pPr>
        <w:spacing w:line="360" w:lineRule="auto"/>
        <w:rPr>
          <w:rFonts w:ascii="Times New Roman" w:hAnsi="Times New Roman" w:cs="Times New Roman"/>
        </w:rPr>
      </w:pPr>
      <w:r w:rsidRPr="00B731DB">
        <w:rPr>
          <w:rFonts w:ascii="Times New Roman" w:hAnsi="Times New Roman" w:cs="Times New Roman"/>
          <w:b/>
          <w:i/>
        </w:rPr>
        <w:lastRenderedPageBreak/>
        <w:t>Promotion to Full Professor</w:t>
      </w:r>
      <w:r w:rsidRPr="00B731DB">
        <w:rPr>
          <w:rFonts w:ascii="Times New Roman" w:hAnsi="Times New Roman" w:cs="Times New Roman"/>
          <w:i/>
        </w:rPr>
        <w:t>:</w:t>
      </w:r>
      <w:r w:rsidRPr="00B731DB">
        <w:rPr>
          <w:rFonts w:ascii="Times New Roman" w:hAnsi="Times New Roman" w:cs="Times New Roman"/>
        </w:rPr>
        <w:t xml:space="preserve"> </w:t>
      </w:r>
      <w:r w:rsidR="008F2093">
        <w:rPr>
          <w:rFonts w:ascii="Times New Roman" w:hAnsi="Times New Roman" w:cs="Times New Roman"/>
        </w:rPr>
        <w:t>Candidates for promotion to Full professor must meet the criterion of special merit through demonstrating greater leadership</w:t>
      </w:r>
      <w:r w:rsidR="00F672D0">
        <w:rPr>
          <w:rFonts w:ascii="Times New Roman" w:hAnsi="Times New Roman" w:cs="Times New Roman"/>
        </w:rPr>
        <w:t xml:space="preserve">. </w:t>
      </w:r>
      <w:r w:rsidR="008F2093">
        <w:rPr>
          <w:rFonts w:ascii="Times New Roman" w:hAnsi="Times New Roman" w:cs="Times New Roman"/>
        </w:rPr>
        <w:t>In addition to participation, there is an expectation that f</w:t>
      </w:r>
      <w:r w:rsidRPr="00B731DB">
        <w:rPr>
          <w:rFonts w:ascii="Times New Roman" w:hAnsi="Times New Roman" w:cs="Times New Roman"/>
        </w:rPr>
        <w:t>aculty at this level should take</w:t>
      </w:r>
      <w:r w:rsidR="008F2093">
        <w:rPr>
          <w:rFonts w:ascii="Times New Roman" w:hAnsi="Times New Roman" w:cs="Times New Roman"/>
        </w:rPr>
        <w:t xml:space="preserve"> some</w:t>
      </w:r>
      <w:r w:rsidRPr="00B731DB">
        <w:rPr>
          <w:rFonts w:ascii="Times New Roman" w:hAnsi="Times New Roman" w:cs="Times New Roman"/>
        </w:rPr>
        <w:t xml:space="preserve"> leadersh</w:t>
      </w:r>
      <w:r w:rsidR="0003256D" w:rsidRPr="00B731DB">
        <w:rPr>
          <w:rFonts w:ascii="Times New Roman" w:hAnsi="Times New Roman" w:cs="Times New Roman"/>
        </w:rPr>
        <w:t>ip roles</w:t>
      </w:r>
      <w:r w:rsidR="008F2093">
        <w:rPr>
          <w:rFonts w:ascii="Times New Roman" w:hAnsi="Times New Roman" w:cs="Times New Roman"/>
        </w:rPr>
        <w:t xml:space="preserve">, whether </w:t>
      </w:r>
      <w:r w:rsidR="0003256D" w:rsidRPr="00B731DB">
        <w:rPr>
          <w:rFonts w:ascii="Times New Roman" w:hAnsi="Times New Roman" w:cs="Times New Roman"/>
        </w:rPr>
        <w:t>in the department</w:t>
      </w:r>
      <w:r w:rsidR="008F2093">
        <w:rPr>
          <w:rFonts w:ascii="Times New Roman" w:hAnsi="Times New Roman" w:cs="Times New Roman"/>
        </w:rPr>
        <w:t>,</w:t>
      </w:r>
      <w:r w:rsidR="0003256D" w:rsidRPr="00B731DB">
        <w:rPr>
          <w:rFonts w:ascii="Times New Roman" w:hAnsi="Times New Roman" w:cs="Times New Roman"/>
        </w:rPr>
        <w:t xml:space="preserve"> t</w:t>
      </w:r>
      <w:r w:rsidRPr="00B731DB">
        <w:rPr>
          <w:rFonts w:ascii="Times New Roman" w:hAnsi="Times New Roman" w:cs="Times New Roman"/>
        </w:rPr>
        <w:t>he College</w:t>
      </w:r>
      <w:r w:rsidR="00B156FA">
        <w:rPr>
          <w:rFonts w:ascii="Times New Roman" w:hAnsi="Times New Roman" w:cs="Times New Roman"/>
        </w:rPr>
        <w:t xml:space="preserve"> of Arts and Sciences</w:t>
      </w:r>
      <w:r w:rsidR="008F2093">
        <w:rPr>
          <w:rFonts w:ascii="Times New Roman" w:hAnsi="Times New Roman" w:cs="Times New Roman"/>
        </w:rPr>
        <w:t xml:space="preserve">, </w:t>
      </w:r>
      <w:r w:rsidR="00B156FA">
        <w:rPr>
          <w:rFonts w:ascii="Times New Roman" w:hAnsi="Times New Roman" w:cs="Times New Roman"/>
        </w:rPr>
        <w:t>the greater university</w:t>
      </w:r>
      <w:r w:rsidRPr="00B731DB">
        <w:rPr>
          <w:rFonts w:ascii="Times New Roman" w:hAnsi="Times New Roman" w:cs="Times New Roman"/>
        </w:rPr>
        <w:t xml:space="preserve"> or other </w:t>
      </w:r>
      <w:r w:rsidR="00D50019" w:rsidRPr="00B731DB">
        <w:rPr>
          <w:rFonts w:ascii="Times New Roman" w:hAnsi="Times New Roman" w:cs="Times New Roman"/>
        </w:rPr>
        <w:t>physics</w:t>
      </w:r>
      <w:r w:rsidRPr="00B731DB">
        <w:rPr>
          <w:rFonts w:ascii="Times New Roman" w:hAnsi="Times New Roman" w:cs="Times New Roman"/>
        </w:rPr>
        <w:t xml:space="preserve">/academic communities. </w:t>
      </w:r>
      <w:r w:rsidR="00424CEA" w:rsidRPr="00B731DB">
        <w:rPr>
          <w:rFonts w:ascii="Times New Roman" w:hAnsi="Times New Roman" w:cs="Times New Roman"/>
        </w:rPr>
        <w:t xml:space="preserve">The candidate should make it clear how their role constitutes leadership. </w:t>
      </w:r>
    </w:p>
    <w:p w14:paraId="49286565" w14:textId="4BA96DFC" w:rsidR="003E7401" w:rsidRPr="00B731DB" w:rsidRDefault="0061726E" w:rsidP="00B731DB">
      <w:pPr>
        <w:spacing w:line="360" w:lineRule="auto"/>
        <w:rPr>
          <w:rFonts w:ascii="Times New Roman" w:hAnsi="Times New Roman" w:cs="Times New Roman"/>
          <w:b/>
          <w:i/>
          <w:sz w:val="28"/>
          <w:szCs w:val="28"/>
        </w:rPr>
      </w:pPr>
      <w:r w:rsidRPr="00B731DB">
        <w:rPr>
          <w:rFonts w:ascii="Times New Roman" w:hAnsi="Times New Roman" w:cs="Times New Roman"/>
        </w:rPr>
        <w:t xml:space="preserve">Colleague evaluations for the area of service will be made primarily from discussions with the candidate and knowledge of their activities. </w:t>
      </w:r>
    </w:p>
    <w:p w14:paraId="752EEE3E" w14:textId="77777777" w:rsidR="006A1DAF" w:rsidRDefault="006A1DAF">
      <w:pPr>
        <w:rPr>
          <w:rFonts w:ascii="Times New Roman" w:hAnsi="Times New Roman" w:cs="Times New Roman"/>
          <w:b/>
          <w:i/>
          <w:sz w:val="28"/>
          <w:szCs w:val="28"/>
        </w:rPr>
      </w:pPr>
      <w:r>
        <w:rPr>
          <w:rFonts w:ascii="Times New Roman" w:hAnsi="Times New Roman" w:cs="Times New Roman"/>
          <w:b/>
          <w:i/>
          <w:sz w:val="28"/>
          <w:szCs w:val="28"/>
        </w:rPr>
        <w:br w:type="page"/>
      </w:r>
    </w:p>
    <w:p w14:paraId="4177834C" w14:textId="748D8B89" w:rsidR="0065756E" w:rsidRPr="00B731DB" w:rsidRDefault="00D63090" w:rsidP="00B731DB">
      <w:pPr>
        <w:spacing w:line="360" w:lineRule="auto"/>
        <w:rPr>
          <w:rFonts w:ascii="Times New Roman" w:hAnsi="Times New Roman" w:cs="Times New Roman"/>
          <w:b/>
          <w:i/>
          <w:sz w:val="28"/>
          <w:szCs w:val="28"/>
        </w:rPr>
      </w:pPr>
      <w:r w:rsidRPr="00B731DB">
        <w:rPr>
          <w:rFonts w:ascii="Times New Roman" w:hAnsi="Times New Roman" w:cs="Times New Roman"/>
          <w:b/>
          <w:i/>
          <w:sz w:val="28"/>
          <w:szCs w:val="28"/>
        </w:rPr>
        <w:lastRenderedPageBreak/>
        <w:t>Appendix A</w:t>
      </w:r>
    </w:p>
    <w:p w14:paraId="17D94658" w14:textId="0CDB1738" w:rsidR="00D63090" w:rsidRPr="00B731DB" w:rsidRDefault="0065756E" w:rsidP="00B731DB">
      <w:pPr>
        <w:spacing w:line="360" w:lineRule="auto"/>
        <w:rPr>
          <w:rFonts w:ascii="Times New Roman" w:hAnsi="Times New Roman" w:cs="Times New Roman"/>
          <w:b/>
          <w:i/>
          <w:sz w:val="24"/>
          <w:szCs w:val="24"/>
        </w:rPr>
      </w:pPr>
      <w:r w:rsidRPr="00B731DB">
        <w:rPr>
          <w:rFonts w:ascii="Times New Roman" w:hAnsi="Times New Roman" w:cs="Times New Roman"/>
          <w:b/>
          <w:i/>
          <w:sz w:val="24"/>
          <w:szCs w:val="24"/>
        </w:rPr>
        <w:t xml:space="preserve">Evidence of </w:t>
      </w:r>
      <w:r w:rsidR="00D63090" w:rsidRPr="00B731DB">
        <w:rPr>
          <w:rFonts w:ascii="Times New Roman" w:hAnsi="Times New Roman" w:cs="Times New Roman"/>
          <w:b/>
          <w:i/>
          <w:sz w:val="24"/>
          <w:szCs w:val="24"/>
        </w:rPr>
        <w:t>external comparison</w:t>
      </w:r>
    </w:p>
    <w:p w14:paraId="54D33CD0" w14:textId="682185CB" w:rsidR="00D63090" w:rsidRPr="00B731DB" w:rsidRDefault="00D63090" w:rsidP="00B731DB">
      <w:pPr>
        <w:spacing w:line="360" w:lineRule="auto"/>
        <w:rPr>
          <w:rFonts w:ascii="Times New Roman" w:hAnsi="Times New Roman" w:cs="Times New Roman"/>
        </w:rPr>
      </w:pPr>
      <w:r w:rsidRPr="00B731DB">
        <w:rPr>
          <w:rFonts w:ascii="Times New Roman" w:hAnsi="Times New Roman" w:cs="Times New Roman"/>
        </w:rPr>
        <w:t xml:space="preserve">The physics department promotion and tenure guidelines draw significantly from </w:t>
      </w:r>
      <w:r w:rsidR="00FD64CC">
        <w:rPr>
          <w:rFonts w:ascii="Times New Roman" w:hAnsi="Times New Roman" w:cs="Times New Roman"/>
        </w:rPr>
        <w:t xml:space="preserve">the Approved guidelines of three departments at Linfield University: the departments of Mathematics, Biology, and Chemistry.  In addition, </w:t>
      </w:r>
      <w:r w:rsidRPr="00B731DB">
        <w:rPr>
          <w:rFonts w:ascii="Times New Roman" w:hAnsi="Times New Roman" w:cs="Times New Roman"/>
        </w:rPr>
        <w:t>the guidelines of two peer institutions (Whitman College</w:t>
      </w:r>
      <w:r w:rsidR="00DD1827">
        <w:rPr>
          <w:rFonts w:ascii="Times New Roman" w:hAnsi="Times New Roman" w:cs="Times New Roman"/>
        </w:rPr>
        <w:t xml:space="preserve"> and University of Puget Sound)</w:t>
      </w:r>
      <w:r w:rsidR="00FD64CC">
        <w:rPr>
          <w:rFonts w:ascii="Times New Roman" w:hAnsi="Times New Roman" w:cs="Times New Roman"/>
        </w:rPr>
        <w:t xml:space="preserve"> were also integrated into this work</w:t>
      </w:r>
      <w:r w:rsidRPr="00B731DB">
        <w:rPr>
          <w:rFonts w:ascii="Times New Roman" w:hAnsi="Times New Roman" w:cs="Times New Roman"/>
        </w:rPr>
        <w:t xml:space="preserve">. </w:t>
      </w:r>
    </w:p>
    <w:p w14:paraId="47123711" w14:textId="77777777" w:rsidR="0065756E" w:rsidRPr="00B731DB" w:rsidRDefault="00D63090" w:rsidP="00B731DB">
      <w:pPr>
        <w:spacing w:line="360" w:lineRule="auto"/>
        <w:rPr>
          <w:rFonts w:ascii="Times New Roman" w:hAnsi="Times New Roman" w:cs="Times New Roman"/>
        </w:rPr>
      </w:pPr>
      <w:r w:rsidRPr="00B731DB">
        <w:rPr>
          <w:rFonts w:ascii="Times New Roman" w:hAnsi="Times New Roman" w:cs="Times New Roman"/>
        </w:rPr>
        <w:t xml:space="preserve">The physics department’s promotion and tenure guidelines affirm the </w:t>
      </w:r>
      <w:r w:rsidR="0065756E" w:rsidRPr="00B731DB">
        <w:rPr>
          <w:rFonts w:ascii="Times New Roman" w:hAnsi="Times New Roman" w:cs="Times New Roman"/>
        </w:rPr>
        <w:t xml:space="preserve">centrality of student experience to the department’s activities, the </w:t>
      </w:r>
      <w:r w:rsidRPr="00B731DB">
        <w:rPr>
          <w:rFonts w:ascii="Times New Roman" w:hAnsi="Times New Roman" w:cs="Times New Roman"/>
        </w:rPr>
        <w:t>agency of faculty members to chart their own path</w:t>
      </w:r>
      <w:r w:rsidR="0065756E" w:rsidRPr="00B731DB">
        <w:rPr>
          <w:rFonts w:ascii="Times New Roman" w:hAnsi="Times New Roman" w:cs="Times New Roman"/>
        </w:rPr>
        <w:t>, and the active participation of physics faculty in various communities</w:t>
      </w:r>
      <w:r w:rsidRPr="00B731DB">
        <w:rPr>
          <w:rFonts w:ascii="Times New Roman" w:hAnsi="Times New Roman" w:cs="Times New Roman"/>
        </w:rPr>
        <w:t xml:space="preserve">. </w:t>
      </w:r>
    </w:p>
    <w:p w14:paraId="03413627" w14:textId="5443BC75" w:rsidR="0065756E" w:rsidRPr="00B731DB" w:rsidRDefault="0065756E" w:rsidP="00B731DB">
      <w:pPr>
        <w:spacing w:line="360" w:lineRule="auto"/>
        <w:rPr>
          <w:rFonts w:ascii="Times New Roman" w:hAnsi="Times New Roman" w:cs="Times New Roman"/>
        </w:rPr>
      </w:pPr>
      <w:r w:rsidRPr="00B731DB">
        <w:rPr>
          <w:rFonts w:ascii="Times New Roman" w:hAnsi="Times New Roman" w:cs="Times New Roman"/>
        </w:rPr>
        <w:t>The im</w:t>
      </w:r>
      <w:r w:rsidR="00DD1827">
        <w:rPr>
          <w:rFonts w:ascii="Times New Roman" w:hAnsi="Times New Roman" w:cs="Times New Roman"/>
        </w:rPr>
        <w:t xml:space="preserve">portance of student experience </w:t>
      </w:r>
      <w:r w:rsidRPr="00B731DB">
        <w:rPr>
          <w:rFonts w:ascii="Times New Roman" w:hAnsi="Times New Roman" w:cs="Times New Roman"/>
        </w:rPr>
        <w:t>is evidenced in the department ethos and woven into the teaching effectiveness and professional achievement sections</w:t>
      </w:r>
      <w:r w:rsidR="00DD1827">
        <w:rPr>
          <w:rFonts w:ascii="Times New Roman" w:hAnsi="Times New Roman" w:cs="Times New Roman"/>
        </w:rPr>
        <w:t>:</w:t>
      </w:r>
    </w:p>
    <w:p w14:paraId="40980F73" w14:textId="76A31A11" w:rsidR="0065756E" w:rsidRPr="00B731DB" w:rsidRDefault="00D50019" w:rsidP="00B731DB">
      <w:pPr>
        <w:spacing w:line="360" w:lineRule="auto"/>
        <w:ind w:left="720"/>
        <w:rPr>
          <w:rFonts w:ascii="Times New Roman" w:hAnsi="Times New Roman" w:cs="Times New Roman"/>
          <w:i/>
        </w:rPr>
      </w:pPr>
      <w:r w:rsidRPr="00B731DB">
        <w:rPr>
          <w:rFonts w:ascii="Times New Roman" w:hAnsi="Times New Roman" w:cs="Times New Roman"/>
          <w:i/>
        </w:rPr>
        <w:t>Threaded throughout this history is a core belief that students learn physics best by doing physics and that the best physics faculty are consistently engaged in novel research...</w:t>
      </w:r>
    </w:p>
    <w:p w14:paraId="6A2BF7A2" w14:textId="3B777A8C" w:rsidR="00D50019" w:rsidRPr="00B731DB" w:rsidRDefault="00D50019" w:rsidP="00B731DB">
      <w:pPr>
        <w:spacing w:line="360" w:lineRule="auto"/>
        <w:ind w:left="720"/>
        <w:rPr>
          <w:rFonts w:ascii="Times New Roman" w:hAnsi="Times New Roman" w:cs="Times New Roman"/>
          <w:i/>
        </w:rPr>
      </w:pPr>
      <w:r w:rsidRPr="00B731DB">
        <w:rPr>
          <w:rFonts w:ascii="Times New Roman" w:hAnsi="Times New Roman" w:cs="Times New Roman"/>
          <w:i/>
        </w:rPr>
        <w:t xml:space="preserve">Collaborative research with undergraduates is of particular importance to the ethos of the department, as it combines best practices for student learning with best practices for maintaining highly engaged and effective faculty. </w:t>
      </w:r>
    </w:p>
    <w:p w14:paraId="39A28F3D" w14:textId="3F635984" w:rsidR="0061726E" w:rsidRPr="00B731DB" w:rsidRDefault="0061726E" w:rsidP="00B731DB">
      <w:pPr>
        <w:spacing w:line="360" w:lineRule="auto"/>
        <w:rPr>
          <w:rFonts w:ascii="Times New Roman" w:hAnsi="Times New Roman" w:cs="Times New Roman"/>
        </w:rPr>
      </w:pPr>
      <w:r w:rsidRPr="00B731DB">
        <w:rPr>
          <w:rFonts w:ascii="Times New Roman" w:hAnsi="Times New Roman" w:cs="Times New Roman"/>
        </w:rPr>
        <w:t>The centrality of student experience is clearly stated in both Whitman’s and University of Puget Sound’s guidelines.</w:t>
      </w:r>
    </w:p>
    <w:p w14:paraId="309A3B6D" w14:textId="71D6CCB0" w:rsidR="00B83E6A" w:rsidRPr="00B731DB" w:rsidRDefault="0061726E" w:rsidP="00B731DB">
      <w:pPr>
        <w:spacing w:line="360" w:lineRule="auto"/>
        <w:rPr>
          <w:rFonts w:ascii="Times New Roman" w:hAnsi="Times New Roman" w:cs="Times New Roman"/>
          <w:u w:val="single"/>
        </w:rPr>
      </w:pPr>
      <w:r w:rsidRPr="00B731DB">
        <w:rPr>
          <w:rFonts w:ascii="Times New Roman" w:hAnsi="Times New Roman" w:cs="Times New Roman"/>
          <w:u w:val="single"/>
        </w:rPr>
        <w:t>From page 1 of Whitman’s document (in Appendix B)</w:t>
      </w:r>
    </w:p>
    <w:p w14:paraId="65C13035" w14:textId="7689D4CC" w:rsidR="0061726E" w:rsidRPr="00B731DB" w:rsidRDefault="00B83E6A" w:rsidP="00B731DB">
      <w:pPr>
        <w:spacing w:line="360" w:lineRule="auto"/>
        <w:ind w:left="720"/>
        <w:rPr>
          <w:rFonts w:ascii="Times New Roman" w:hAnsi="Times New Roman" w:cs="Times New Roman"/>
          <w:i/>
          <w:color w:val="000000"/>
        </w:rPr>
      </w:pPr>
      <w:r w:rsidRPr="00B731DB">
        <w:rPr>
          <w:rFonts w:ascii="Times New Roman" w:hAnsi="Times New Roman" w:cs="Times New Roman"/>
          <w:i/>
          <w:color w:val="000000"/>
        </w:rPr>
        <w:t>The Department of Physics expects each of its members be an excellent teacher, an available and understanding advisor and mentor to many students, and a productive scholar who is active in his or her discipline of inquiry.</w:t>
      </w:r>
    </w:p>
    <w:p w14:paraId="58775F24" w14:textId="17C752B4" w:rsidR="00B83E6A" w:rsidRPr="00B731DB" w:rsidRDefault="00B83E6A" w:rsidP="00B731DB">
      <w:pPr>
        <w:spacing w:line="360" w:lineRule="auto"/>
        <w:rPr>
          <w:rFonts w:ascii="Times New Roman" w:hAnsi="Times New Roman" w:cs="Times New Roman"/>
          <w:u w:val="single"/>
        </w:rPr>
      </w:pPr>
      <w:r w:rsidRPr="00DD1827">
        <w:rPr>
          <w:rFonts w:ascii="Times New Roman" w:hAnsi="Times New Roman" w:cs="Times New Roman"/>
          <w:u w:val="single"/>
        </w:rPr>
        <w:t xml:space="preserve">From page </w:t>
      </w:r>
      <w:r w:rsidR="00DD1827" w:rsidRPr="00DD1827">
        <w:rPr>
          <w:rFonts w:ascii="Times New Roman" w:hAnsi="Times New Roman" w:cs="Times New Roman"/>
          <w:u w:val="single"/>
        </w:rPr>
        <w:t>2</w:t>
      </w:r>
      <w:r w:rsidRPr="00DD1827">
        <w:rPr>
          <w:rFonts w:ascii="Times New Roman" w:hAnsi="Times New Roman" w:cs="Times New Roman"/>
          <w:u w:val="single"/>
        </w:rPr>
        <w:t xml:space="preserve"> of University of Puget Sound’s document (in Appendix C)</w:t>
      </w:r>
    </w:p>
    <w:p w14:paraId="094F4C23" w14:textId="305B9DD2" w:rsidR="00B83E6A" w:rsidRPr="00DD1827" w:rsidRDefault="00DD1827" w:rsidP="00DD1827">
      <w:pPr>
        <w:spacing w:line="360" w:lineRule="auto"/>
        <w:ind w:left="720"/>
        <w:rPr>
          <w:rFonts w:ascii="Times New Roman" w:hAnsi="Times New Roman" w:cs="Times New Roman"/>
          <w:i/>
        </w:rPr>
      </w:pPr>
      <w:r w:rsidRPr="00DD1827">
        <w:rPr>
          <w:rFonts w:ascii="Times New Roman" w:hAnsi="Times New Roman" w:cs="Times New Roman"/>
          <w:i/>
        </w:rPr>
        <w:t>Examples of activities that contribute to professional growth include: (1) original scientific research and publication. (2) scientific research that does not necessarily lead to publication but is presented to the scholarly community in some form</w:t>
      </w:r>
      <w:r w:rsidR="00F672D0" w:rsidRPr="00DD1827">
        <w:rPr>
          <w:rFonts w:ascii="Times New Roman" w:hAnsi="Times New Roman" w:cs="Times New Roman"/>
          <w:i/>
        </w:rPr>
        <w:t xml:space="preserve">. </w:t>
      </w:r>
      <w:r w:rsidRPr="00DD1827">
        <w:rPr>
          <w:rFonts w:ascii="Times New Roman" w:hAnsi="Times New Roman" w:cs="Times New Roman"/>
          <w:i/>
        </w:rPr>
        <w:t>The Department recognizes that not every research project leads to a result publishable in a research journal</w:t>
      </w:r>
      <w:r w:rsidR="00F672D0" w:rsidRPr="00DD1827">
        <w:rPr>
          <w:rFonts w:ascii="Times New Roman" w:hAnsi="Times New Roman" w:cs="Times New Roman"/>
          <w:i/>
        </w:rPr>
        <w:t xml:space="preserve">. </w:t>
      </w:r>
      <w:r w:rsidRPr="00DD1827">
        <w:rPr>
          <w:rFonts w:ascii="Times New Roman" w:hAnsi="Times New Roman" w:cs="Times New Roman"/>
          <w:i/>
        </w:rPr>
        <w:t>This is especially likely to be true of…projects designed to provide student research opportunities.</w:t>
      </w:r>
    </w:p>
    <w:p w14:paraId="53DD34E7" w14:textId="0A4EB72A" w:rsidR="005272FF" w:rsidRPr="00B731DB" w:rsidRDefault="0065756E" w:rsidP="00B731DB">
      <w:pPr>
        <w:spacing w:line="360" w:lineRule="auto"/>
        <w:rPr>
          <w:rFonts w:ascii="Times New Roman" w:hAnsi="Times New Roman" w:cs="Times New Roman"/>
        </w:rPr>
      </w:pPr>
      <w:r w:rsidRPr="00B731DB">
        <w:rPr>
          <w:rFonts w:ascii="Times New Roman" w:hAnsi="Times New Roman" w:cs="Times New Roman"/>
        </w:rPr>
        <w:lastRenderedPageBreak/>
        <w:t>The importance of self-determination in professional achievement</w:t>
      </w:r>
      <w:r w:rsidR="00D63090" w:rsidRPr="00B731DB">
        <w:rPr>
          <w:rFonts w:ascii="Times New Roman" w:hAnsi="Times New Roman" w:cs="Times New Roman"/>
        </w:rPr>
        <w:t xml:space="preserve"> is evidenced in the department ethos section and </w:t>
      </w:r>
      <w:r w:rsidR="0040412D" w:rsidRPr="00B731DB">
        <w:rPr>
          <w:rFonts w:ascii="Times New Roman" w:hAnsi="Times New Roman" w:cs="Times New Roman"/>
        </w:rPr>
        <w:t xml:space="preserve">is </w:t>
      </w:r>
      <w:r w:rsidRPr="00B731DB">
        <w:rPr>
          <w:rFonts w:ascii="Times New Roman" w:hAnsi="Times New Roman" w:cs="Times New Roman"/>
        </w:rPr>
        <w:t xml:space="preserve">woven into </w:t>
      </w:r>
      <w:r w:rsidR="00D63090" w:rsidRPr="00B731DB">
        <w:rPr>
          <w:rFonts w:ascii="Times New Roman" w:hAnsi="Times New Roman" w:cs="Times New Roman"/>
        </w:rPr>
        <w:t>the professional achievement</w:t>
      </w:r>
      <w:r w:rsidRPr="00B731DB">
        <w:rPr>
          <w:rFonts w:ascii="Times New Roman" w:hAnsi="Times New Roman" w:cs="Times New Roman"/>
        </w:rPr>
        <w:t xml:space="preserve"> section</w:t>
      </w:r>
      <w:r w:rsidR="00D63090" w:rsidRPr="00B731DB">
        <w:rPr>
          <w:rFonts w:ascii="Times New Roman" w:hAnsi="Times New Roman" w:cs="Times New Roman"/>
        </w:rPr>
        <w:t>.</w:t>
      </w:r>
    </w:p>
    <w:p w14:paraId="04928F7F" w14:textId="4A51A821" w:rsidR="00D63090" w:rsidRPr="00B731DB" w:rsidRDefault="00D63090" w:rsidP="00B731DB">
      <w:pPr>
        <w:spacing w:line="360" w:lineRule="auto"/>
        <w:ind w:left="720"/>
        <w:rPr>
          <w:rFonts w:ascii="Times New Roman" w:hAnsi="Times New Roman" w:cs="Times New Roman"/>
          <w:i/>
        </w:rPr>
      </w:pPr>
      <w:r w:rsidRPr="00B731DB">
        <w:rPr>
          <w:rFonts w:ascii="Times New Roman" w:hAnsi="Times New Roman" w:cs="Times New Roman"/>
          <w:i/>
        </w:rPr>
        <w:t>The physics department recognizes that faculty should shape their own distinct identity and should have the ability to choose the path they take</w:t>
      </w:r>
      <w:r w:rsidR="00F672D0" w:rsidRPr="00B731DB">
        <w:rPr>
          <w:rFonts w:ascii="Times New Roman" w:hAnsi="Times New Roman" w:cs="Times New Roman"/>
          <w:i/>
        </w:rPr>
        <w:t xml:space="preserve">. </w:t>
      </w:r>
      <w:r w:rsidRPr="00B731DB">
        <w:rPr>
          <w:rFonts w:ascii="Times New Roman" w:hAnsi="Times New Roman" w:cs="Times New Roman"/>
          <w:i/>
        </w:rPr>
        <w:t xml:space="preserve">A candidate should clearly articulate how this path connects to the values and objectives of the department and the College. </w:t>
      </w:r>
    </w:p>
    <w:p w14:paraId="71A52532" w14:textId="6790F549" w:rsidR="00D50019" w:rsidRPr="00B731DB" w:rsidRDefault="00D50019" w:rsidP="00B731DB">
      <w:pPr>
        <w:spacing w:line="360" w:lineRule="auto"/>
        <w:ind w:left="720"/>
        <w:rPr>
          <w:rFonts w:ascii="Times New Roman" w:hAnsi="Times New Roman" w:cs="Times New Roman"/>
          <w:i/>
        </w:rPr>
      </w:pPr>
      <w:r w:rsidRPr="00B731DB">
        <w:rPr>
          <w:rFonts w:ascii="Times New Roman" w:hAnsi="Times New Roman" w:cs="Times New Roman"/>
          <w:i/>
        </w:rPr>
        <w:t>While we recognize that each line of scientific investigation is different and that involving undergraduates makes more sense at different stages of a project than others, the department expects that all faculty regularly engage students in their research.</w:t>
      </w:r>
    </w:p>
    <w:p w14:paraId="46743629" w14:textId="240EAF8B" w:rsidR="0061726E" w:rsidRPr="00B731DB" w:rsidRDefault="0040412D" w:rsidP="00B731DB">
      <w:pPr>
        <w:spacing w:line="360" w:lineRule="auto"/>
        <w:rPr>
          <w:rFonts w:ascii="Times New Roman" w:hAnsi="Times New Roman" w:cs="Times New Roman"/>
        </w:rPr>
      </w:pPr>
      <w:r w:rsidRPr="00B731DB">
        <w:rPr>
          <w:rFonts w:ascii="Times New Roman" w:hAnsi="Times New Roman" w:cs="Times New Roman"/>
        </w:rPr>
        <w:t xml:space="preserve">This sentiment is </w:t>
      </w:r>
      <w:r w:rsidR="0065756E" w:rsidRPr="00B731DB">
        <w:rPr>
          <w:rFonts w:ascii="Times New Roman" w:hAnsi="Times New Roman" w:cs="Times New Roman"/>
        </w:rPr>
        <w:t xml:space="preserve">clearly stated in </w:t>
      </w:r>
      <w:r w:rsidRPr="00B731DB">
        <w:rPr>
          <w:rFonts w:ascii="Times New Roman" w:hAnsi="Times New Roman" w:cs="Times New Roman"/>
        </w:rPr>
        <w:t xml:space="preserve">Whitman’s and </w:t>
      </w:r>
      <w:r w:rsidR="0065756E" w:rsidRPr="00B731DB">
        <w:rPr>
          <w:rFonts w:ascii="Times New Roman" w:hAnsi="Times New Roman" w:cs="Times New Roman"/>
        </w:rPr>
        <w:t xml:space="preserve">inferred in </w:t>
      </w:r>
      <w:r w:rsidRPr="00B731DB">
        <w:rPr>
          <w:rFonts w:ascii="Times New Roman" w:hAnsi="Times New Roman" w:cs="Times New Roman"/>
        </w:rPr>
        <w:t>University of Puget Sound’s guidelines.</w:t>
      </w:r>
    </w:p>
    <w:p w14:paraId="4611288F" w14:textId="6E8AC690" w:rsidR="0040412D" w:rsidRPr="00B731DB" w:rsidRDefault="0040412D" w:rsidP="00B731DB">
      <w:pPr>
        <w:spacing w:line="360" w:lineRule="auto"/>
        <w:rPr>
          <w:rFonts w:ascii="Times New Roman" w:hAnsi="Times New Roman" w:cs="Times New Roman"/>
          <w:u w:val="single"/>
        </w:rPr>
      </w:pPr>
      <w:r w:rsidRPr="00B731DB">
        <w:rPr>
          <w:rFonts w:ascii="Times New Roman" w:hAnsi="Times New Roman" w:cs="Times New Roman"/>
          <w:u w:val="single"/>
        </w:rPr>
        <w:t>From page 1 of W</w:t>
      </w:r>
      <w:r w:rsidR="005018D3" w:rsidRPr="00B731DB">
        <w:rPr>
          <w:rFonts w:ascii="Times New Roman" w:hAnsi="Times New Roman" w:cs="Times New Roman"/>
          <w:u w:val="single"/>
        </w:rPr>
        <w:t>hitman’s document (in Appendix B</w:t>
      </w:r>
      <w:r w:rsidRPr="00B731DB">
        <w:rPr>
          <w:rFonts w:ascii="Times New Roman" w:hAnsi="Times New Roman" w:cs="Times New Roman"/>
          <w:u w:val="single"/>
        </w:rPr>
        <w:t>)</w:t>
      </w:r>
    </w:p>
    <w:p w14:paraId="133C8640" w14:textId="77777777" w:rsidR="0040412D" w:rsidRPr="00B731DB" w:rsidRDefault="0040412D" w:rsidP="00B731DB">
      <w:pPr>
        <w:pStyle w:val="Default"/>
        <w:spacing w:line="360" w:lineRule="auto"/>
        <w:ind w:left="720"/>
        <w:rPr>
          <w:i/>
          <w:sz w:val="22"/>
          <w:szCs w:val="22"/>
        </w:rPr>
      </w:pPr>
      <w:r w:rsidRPr="00B731DB">
        <w:rPr>
          <w:i/>
          <w:sz w:val="22"/>
          <w:szCs w:val="22"/>
        </w:rPr>
        <w:t xml:space="preserve">Rather than encouraging a "one-size-fits-all" approach to scientific research, the Department recognizes that a diversity of approaches is valuable to the faculty, students, and more generally the College. Hence the Department encourages each faculty member to evaluate his or her personal strengths and interests to find the approach to scholarly engagement that works best given the available resources. </w:t>
      </w:r>
    </w:p>
    <w:p w14:paraId="37CE06F0" w14:textId="77777777" w:rsidR="001051E3" w:rsidRDefault="001051E3">
      <w:pPr>
        <w:rPr>
          <w:rFonts w:ascii="Times New Roman" w:hAnsi="Times New Roman" w:cs="Times New Roman"/>
          <w:b/>
          <w:i/>
          <w:sz w:val="28"/>
          <w:szCs w:val="28"/>
        </w:rPr>
      </w:pPr>
      <w:r>
        <w:rPr>
          <w:rFonts w:ascii="Times New Roman" w:hAnsi="Times New Roman" w:cs="Times New Roman"/>
          <w:b/>
          <w:i/>
          <w:sz w:val="28"/>
          <w:szCs w:val="28"/>
        </w:rPr>
        <w:br w:type="page"/>
      </w:r>
    </w:p>
    <w:p w14:paraId="5FB08360" w14:textId="1FE88F4C" w:rsidR="00913A93" w:rsidRPr="00B731DB" w:rsidRDefault="005018D3" w:rsidP="00B731DB">
      <w:pPr>
        <w:spacing w:line="360" w:lineRule="auto"/>
        <w:rPr>
          <w:rFonts w:ascii="Times New Roman" w:hAnsi="Times New Roman" w:cs="Times New Roman"/>
          <w:b/>
          <w:i/>
          <w:sz w:val="28"/>
          <w:szCs w:val="28"/>
        </w:rPr>
      </w:pPr>
      <w:r w:rsidRPr="00B731DB">
        <w:rPr>
          <w:rFonts w:ascii="Times New Roman" w:hAnsi="Times New Roman" w:cs="Times New Roman"/>
          <w:b/>
          <w:i/>
          <w:sz w:val="28"/>
          <w:szCs w:val="28"/>
        </w:rPr>
        <w:lastRenderedPageBreak/>
        <w:t>Appendix B</w:t>
      </w:r>
    </w:p>
    <w:p w14:paraId="610D31A0" w14:textId="24168FB2" w:rsidR="00913A93" w:rsidRPr="00B731DB" w:rsidRDefault="00913A93" w:rsidP="00B731DB">
      <w:pPr>
        <w:spacing w:line="360" w:lineRule="auto"/>
        <w:rPr>
          <w:rFonts w:ascii="Times New Roman" w:hAnsi="Times New Roman" w:cs="Times New Roman"/>
          <w:b/>
          <w:i/>
          <w:sz w:val="28"/>
          <w:szCs w:val="28"/>
        </w:rPr>
      </w:pPr>
      <w:r w:rsidRPr="00B731DB">
        <w:rPr>
          <w:rFonts w:ascii="Times New Roman" w:hAnsi="Times New Roman" w:cs="Times New Roman"/>
          <w:b/>
          <w:i/>
          <w:noProof/>
          <w:sz w:val="28"/>
          <w:szCs w:val="28"/>
        </w:rPr>
        <w:drawing>
          <wp:inline distT="0" distB="0" distL="0" distR="0" wp14:anchorId="5BEFB832" wp14:editId="00FF5C7D">
            <wp:extent cx="5943600" cy="7411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411881"/>
                    </a:xfrm>
                    <a:prstGeom prst="rect">
                      <a:avLst/>
                    </a:prstGeom>
                    <a:noFill/>
                    <a:ln>
                      <a:noFill/>
                    </a:ln>
                  </pic:spPr>
                </pic:pic>
              </a:graphicData>
            </a:graphic>
          </wp:inline>
        </w:drawing>
      </w:r>
    </w:p>
    <w:p w14:paraId="5F8BE992" w14:textId="77777777" w:rsidR="00913A93" w:rsidRPr="00B731DB" w:rsidRDefault="00913A93" w:rsidP="00B731DB">
      <w:pPr>
        <w:spacing w:line="360" w:lineRule="auto"/>
        <w:rPr>
          <w:rFonts w:ascii="Times New Roman" w:hAnsi="Times New Roman" w:cs="Times New Roman"/>
          <w:b/>
          <w:i/>
          <w:sz w:val="28"/>
          <w:szCs w:val="28"/>
        </w:rPr>
      </w:pPr>
    </w:p>
    <w:p w14:paraId="158C6ECB" w14:textId="6D177964" w:rsidR="00913A93" w:rsidRPr="00B731DB" w:rsidRDefault="00913A93" w:rsidP="00B731DB">
      <w:pPr>
        <w:spacing w:line="360" w:lineRule="auto"/>
        <w:rPr>
          <w:rFonts w:ascii="Times New Roman" w:hAnsi="Times New Roman" w:cs="Times New Roman"/>
          <w:b/>
          <w:i/>
          <w:sz w:val="28"/>
          <w:szCs w:val="28"/>
        </w:rPr>
      </w:pPr>
      <w:r w:rsidRPr="00B731DB">
        <w:rPr>
          <w:rFonts w:ascii="Times New Roman" w:hAnsi="Times New Roman" w:cs="Times New Roman"/>
          <w:b/>
          <w:i/>
          <w:noProof/>
          <w:sz w:val="28"/>
          <w:szCs w:val="28"/>
        </w:rPr>
        <w:lastRenderedPageBreak/>
        <w:drawing>
          <wp:inline distT="0" distB="0" distL="0" distR="0" wp14:anchorId="56C575D7" wp14:editId="14CE7D36">
            <wp:extent cx="5943600" cy="77439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43944"/>
                    </a:xfrm>
                    <a:prstGeom prst="rect">
                      <a:avLst/>
                    </a:prstGeom>
                    <a:noFill/>
                    <a:ln>
                      <a:noFill/>
                    </a:ln>
                  </pic:spPr>
                </pic:pic>
              </a:graphicData>
            </a:graphic>
          </wp:inline>
        </w:drawing>
      </w:r>
    </w:p>
    <w:p w14:paraId="50A645A0" w14:textId="77777777" w:rsidR="00913A93" w:rsidRPr="00B731DB" w:rsidRDefault="00913A93" w:rsidP="00B731DB">
      <w:pPr>
        <w:spacing w:line="360" w:lineRule="auto"/>
        <w:rPr>
          <w:rFonts w:ascii="Times New Roman" w:hAnsi="Times New Roman" w:cs="Times New Roman"/>
          <w:b/>
          <w:i/>
          <w:sz w:val="28"/>
          <w:szCs w:val="28"/>
        </w:rPr>
      </w:pPr>
    </w:p>
    <w:p w14:paraId="15C9F022" w14:textId="5B72D0E8" w:rsidR="00913A93" w:rsidRPr="00B731DB" w:rsidRDefault="00913A93" w:rsidP="00B731DB">
      <w:pPr>
        <w:spacing w:line="360" w:lineRule="auto"/>
        <w:rPr>
          <w:rFonts w:ascii="Times New Roman" w:hAnsi="Times New Roman" w:cs="Times New Roman"/>
          <w:b/>
          <w:i/>
          <w:sz w:val="28"/>
          <w:szCs w:val="28"/>
        </w:rPr>
      </w:pPr>
      <w:r w:rsidRPr="00B731DB">
        <w:rPr>
          <w:rFonts w:ascii="Times New Roman" w:hAnsi="Times New Roman" w:cs="Times New Roman"/>
          <w:b/>
          <w:i/>
          <w:noProof/>
          <w:sz w:val="28"/>
          <w:szCs w:val="28"/>
        </w:rPr>
        <w:lastRenderedPageBreak/>
        <w:drawing>
          <wp:inline distT="0" distB="0" distL="0" distR="0" wp14:anchorId="434AB712" wp14:editId="2C6D9397">
            <wp:extent cx="5943600" cy="6445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445876"/>
                    </a:xfrm>
                    <a:prstGeom prst="rect">
                      <a:avLst/>
                    </a:prstGeom>
                    <a:noFill/>
                    <a:ln>
                      <a:noFill/>
                    </a:ln>
                  </pic:spPr>
                </pic:pic>
              </a:graphicData>
            </a:graphic>
          </wp:inline>
        </w:drawing>
      </w:r>
    </w:p>
    <w:p w14:paraId="02C3DF13" w14:textId="77777777" w:rsidR="00913A93" w:rsidRPr="00B731DB" w:rsidRDefault="00913A93" w:rsidP="00B731DB">
      <w:pPr>
        <w:spacing w:line="360" w:lineRule="auto"/>
        <w:rPr>
          <w:rFonts w:ascii="Times New Roman" w:hAnsi="Times New Roman" w:cs="Times New Roman"/>
          <w:b/>
          <w:i/>
          <w:sz w:val="28"/>
          <w:szCs w:val="28"/>
        </w:rPr>
      </w:pPr>
    </w:p>
    <w:p w14:paraId="2F519FDD" w14:textId="77777777" w:rsidR="00913A93" w:rsidRPr="00B731DB" w:rsidRDefault="00913A93" w:rsidP="00B731DB">
      <w:pPr>
        <w:spacing w:line="360" w:lineRule="auto"/>
        <w:rPr>
          <w:rFonts w:ascii="Times New Roman" w:hAnsi="Times New Roman" w:cs="Times New Roman"/>
          <w:b/>
          <w:i/>
          <w:sz w:val="28"/>
          <w:szCs w:val="28"/>
        </w:rPr>
      </w:pPr>
    </w:p>
    <w:p w14:paraId="696EB175" w14:textId="77777777" w:rsidR="00913A93" w:rsidRPr="00B731DB" w:rsidRDefault="00913A93" w:rsidP="00B731DB">
      <w:pPr>
        <w:spacing w:line="360" w:lineRule="auto"/>
        <w:rPr>
          <w:rFonts w:ascii="Times New Roman" w:hAnsi="Times New Roman" w:cs="Times New Roman"/>
          <w:b/>
          <w:i/>
          <w:sz w:val="28"/>
          <w:szCs w:val="28"/>
        </w:rPr>
      </w:pPr>
    </w:p>
    <w:p w14:paraId="569AD3FB" w14:textId="77777777" w:rsidR="00913A93" w:rsidRPr="00B731DB" w:rsidRDefault="00913A93" w:rsidP="00B731DB">
      <w:pPr>
        <w:spacing w:line="360" w:lineRule="auto"/>
        <w:rPr>
          <w:rFonts w:ascii="Times New Roman" w:hAnsi="Times New Roman" w:cs="Times New Roman"/>
          <w:b/>
          <w:i/>
          <w:sz w:val="28"/>
          <w:szCs w:val="28"/>
        </w:rPr>
      </w:pPr>
    </w:p>
    <w:p w14:paraId="0CC33567" w14:textId="3F9075F4" w:rsidR="00913A93" w:rsidRPr="00B731DB" w:rsidRDefault="00913A93" w:rsidP="00B731DB">
      <w:pPr>
        <w:spacing w:line="360" w:lineRule="auto"/>
        <w:rPr>
          <w:rFonts w:ascii="Times New Roman" w:hAnsi="Times New Roman" w:cs="Times New Roman"/>
          <w:b/>
          <w:i/>
          <w:sz w:val="28"/>
          <w:szCs w:val="28"/>
        </w:rPr>
      </w:pPr>
      <w:r w:rsidRPr="00B731DB">
        <w:rPr>
          <w:rFonts w:ascii="Times New Roman" w:hAnsi="Times New Roman" w:cs="Times New Roman"/>
          <w:b/>
          <w:i/>
          <w:noProof/>
          <w:sz w:val="28"/>
          <w:szCs w:val="28"/>
        </w:rPr>
        <w:lastRenderedPageBreak/>
        <w:drawing>
          <wp:inline distT="0" distB="0" distL="0" distR="0" wp14:anchorId="747AB6B8" wp14:editId="69276A8C">
            <wp:extent cx="5943600" cy="65858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585836"/>
                    </a:xfrm>
                    <a:prstGeom prst="rect">
                      <a:avLst/>
                    </a:prstGeom>
                    <a:noFill/>
                    <a:ln>
                      <a:noFill/>
                    </a:ln>
                  </pic:spPr>
                </pic:pic>
              </a:graphicData>
            </a:graphic>
          </wp:inline>
        </w:drawing>
      </w:r>
    </w:p>
    <w:p w14:paraId="484B604F" w14:textId="77777777" w:rsidR="00A9266D" w:rsidRPr="00B731DB" w:rsidRDefault="00A9266D" w:rsidP="00B731DB">
      <w:pPr>
        <w:spacing w:line="360" w:lineRule="auto"/>
        <w:rPr>
          <w:rFonts w:ascii="Times New Roman" w:hAnsi="Times New Roman" w:cs="Times New Roman"/>
          <w:u w:val="single"/>
        </w:rPr>
      </w:pPr>
    </w:p>
    <w:p w14:paraId="0EBA9556" w14:textId="77777777" w:rsidR="00A9266D" w:rsidRPr="00B731DB" w:rsidRDefault="00A9266D" w:rsidP="00B731DB">
      <w:pPr>
        <w:spacing w:line="360" w:lineRule="auto"/>
        <w:rPr>
          <w:rFonts w:ascii="Times New Roman" w:hAnsi="Times New Roman" w:cs="Times New Roman"/>
          <w:u w:val="single"/>
        </w:rPr>
      </w:pPr>
    </w:p>
    <w:p w14:paraId="06D985AF" w14:textId="77777777" w:rsidR="0040412D" w:rsidRPr="00B731DB" w:rsidRDefault="0040412D" w:rsidP="00B731DB">
      <w:pPr>
        <w:pStyle w:val="Default"/>
        <w:spacing w:line="360" w:lineRule="auto"/>
        <w:rPr>
          <w:i/>
          <w:sz w:val="22"/>
          <w:szCs w:val="22"/>
        </w:rPr>
      </w:pPr>
    </w:p>
    <w:p w14:paraId="547AD210" w14:textId="77777777" w:rsidR="0040412D" w:rsidRPr="00B731DB" w:rsidRDefault="0040412D" w:rsidP="00B731DB">
      <w:pPr>
        <w:pStyle w:val="Default"/>
        <w:spacing w:line="360" w:lineRule="auto"/>
        <w:rPr>
          <w:i/>
          <w:sz w:val="22"/>
          <w:szCs w:val="22"/>
        </w:rPr>
      </w:pPr>
    </w:p>
    <w:p w14:paraId="6C8E90AE" w14:textId="77777777" w:rsidR="0040412D" w:rsidRPr="00B731DB" w:rsidRDefault="0040412D" w:rsidP="00B731DB">
      <w:pPr>
        <w:spacing w:line="360" w:lineRule="auto"/>
        <w:rPr>
          <w:rFonts w:ascii="Times New Roman" w:hAnsi="Times New Roman" w:cs="Times New Roman"/>
        </w:rPr>
      </w:pPr>
    </w:p>
    <w:p w14:paraId="19090A23" w14:textId="79688274" w:rsidR="00913A93" w:rsidRPr="00B731DB" w:rsidRDefault="005018D3" w:rsidP="00B731DB">
      <w:pPr>
        <w:spacing w:line="360" w:lineRule="auto"/>
        <w:rPr>
          <w:rFonts w:ascii="Times New Roman" w:hAnsi="Times New Roman" w:cs="Times New Roman"/>
          <w:b/>
          <w:i/>
          <w:sz w:val="28"/>
          <w:szCs w:val="28"/>
        </w:rPr>
      </w:pPr>
      <w:r w:rsidRPr="00B731DB">
        <w:rPr>
          <w:rFonts w:ascii="Times New Roman" w:hAnsi="Times New Roman" w:cs="Times New Roman"/>
          <w:b/>
          <w:i/>
          <w:sz w:val="28"/>
          <w:szCs w:val="28"/>
        </w:rPr>
        <w:lastRenderedPageBreak/>
        <w:t>Appendix C</w:t>
      </w:r>
    </w:p>
    <w:p w14:paraId="0AD694CB" w14:textId="77777777" w:rsidR="00913A93" w:rsidRPr="00B731DB" w:rsidRDefault="00913A93" w:rsidP="00B731DB">
      <w:pPr>
        <w:spacing w:line="360" w:lineRule="auto"/>
        <w:rPr>
          <w:rFonts w:ascii="Times New Roman" w:hAnsi="Times New Roman" w:cs="Times New Roman"/>
          <w:u w:val="single"/>
        </w:rPr>
      </w:pPr>
      <w:r w:rsidRPr="00B731DB">
        <w:rPr>
          <w:rFonts w:ascii="Times New Roman" w:hAnsi="Times New Roman" w:cs="Times New Roman"/>
          <w:noProof/>
          <w:u w:val="single"/>
        </w:rPr>
        <w:drawing>
          <wp:inline distT="0" distB="0" distL="0" distR="0" wp14:anchorId="3F42DBD0" wp14:editId="02F77DA1">
            <wp:extent cx="5943600" cy="7641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41771"/>
                    </a:xfrm>
                    <a:prstGeom prst="rect">
                      <a:avLst/>
                    </a:prstGeom>
                    <a:noFill/>
                    <a:ln>
                      <a:noFill/>
                    </a:ln>
                  </pic:spPr>
                </pic:pic>
              </a:graphicData>
            </a:graphic>
          </wp:inline>
        </w:drawing>
      </w:r>
    </w:p>
    <w:p w14:paraId="6516EC70" w14:textId="77777777" w:rsidR="00913A93" w:rsidRPr="00B731DB" w:rsidRDefault="00913A93" w:rsidP="00B731DB">
      <w:pPr>
        <w:spacing w:line="360" w:lineRule="auto"/>
        <w:rPr>
          <w:rFonts w:ascii="Times New Roman" w:hAnsi="Times New Roman" w:cs="Times New Roman"/>
          <w:u w:val="single"/>
        </w:rPr>
      </w:pPr>
      <w:r w:rsidRPr="00B731DB">
        <w:rPr>
          <w:rFonts w:ascii="Times New Roman" w:hAnsi="Times New Roman" w:cs="Times New Roman"/>
          <w:noProof/>
          <w:u w:val="single"/>
        </w:rPr>
        <w:lastRenderedPageBreak/>
        <w:drawing>
          <wp:inline distT="0" distB="0" distL="0" distR="0" wp14:anchorId="6B9B2C67" wp14:editId="3B035DFC">
            <wp:extent cx="5740400" cy="764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0" cy="7645400"/>
                    </a:xfrm>
                    <a:prstGeom prst="rect">
                      <a:avLst/>
                    </a:prstGeom>
                    <a:noFill/>
                    <a:ln>
                      <a:noFill/>
                    </a:ln>
                  </pic:spPr>
                </pic:pic>
              </a:graphicData>
            </a:graphic>
          </wp:inline>
        </w:drawing>
      </w:r>
    </w:p>
    <w:p w14:paraId="3B796379" w14:textId="77777777" w:rsidR="00913A93" w:rsidRPr="00B731DB" w:rsidRDefault="00913A93" w:rsidP="00B731DB">
      <w:pPr>
        <w:spacing w:line="360" w:lineRule="auto"/>
        <w:rPr>
          <w:rFonts w:ascii="Times New Roman" w:hAnsi="Times New Roman" w:cs="Times New Roman"/>
          <w:u w:val="single"/>
        </w:rPr>
      </w:pPr>
    </w:p>
    <w:p w14:paraId="3AE9EA2E" w14:textId="77777777" w:rsidR="00913A93" w:rsidRPr="00B731DB" w:rsidRDefault="00913A93" w:rsidP="00B731DB">
      <w:pPr>
        <w:spacing w:line="360" w:lineRule="auto"/>
        <w:rPr>
          <w:rFonts w:ascii="Times New Roman" w:hAnsi="Times New Roman" w:cs="Times New Roman"/>
          <w:u w:val="single"/>
        </w:rPr>
      </w:pPr>
      <w:r w:rsidRPr="00B731DB">
        <w:rPr>
          <w:rFonts w:ascii="Times New Roman" w:hAnsi="Times New Roman" w:cs="Times New Roman"/>
          <w:noProof/>
          <w:u w:val="single"/>
        </w:rPr>
        <w:lastRenderedPageBreak/>
        <w:drawing>
          <wp:inline distT="0" distB="0" distL="0" distR="0" wp14:anchorId="0B3972FA" wp14:editId="35FC9FE9">
            <wp:extent cx="5803900" cy="772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0" cy="7721600"/>
                    </a:xfrm>
                    <a:prstGeom prst="rect">
                      <a:avLst/>
                    </a:prstGeom>
                    <a:noFill/>
                    <a:ln>
                      <a:noFill/>
                    </a:ln>
                  </pic:spPr>
                </pic:pic>
              </a:graphicData>
            </a:graphic>
          </wp:inline>
        </w:drawing>
      </w:r>
    </w:p>
    <w:p w14:paraId="3AC9BCA8" w14:textId="77777777" w:rsidR="00913A93" w:rsidRPr="00B731DB" w:rsidRDefault="00913A93" w:rsidP="00B731DB">
      <w:pPr>
        <w:spacing w:line="360" w:lineRule="auto"/>
        <w:rPr>
          <w:rFonts w:ascii="Times New Roman" w:hAnsi="Times New Roman" w:cs="Times New Roman"/>
          <w:u w:val="single"/>
        </w:rPr>
      </w:pPr>
    </w:p>
    <w:p w14:paraId="6857399E" w14:textId="77777777" w:rsidR="00913A93" w:rsidRPr="00B731DB" w:rsidRDefault="00913A93" w:rsidP="00B731DB">
      <w:pPr>
        <w:spacing w:line="360" w:lineRule="auto"/>
        <w:rPr>
          <w:rFonts w:ascii="Times New Roman" w:hAnsi="Times New Roman" w:cs="Times New Roman"/>
          <w:u w:val="single"/>
        </w:rPr>
      </w:pPr>
      <w:r w:rsidRPr="00B731DB">
        <w:rPr>
          <w:rFonts w:ascii="Times New Roman" w:hAnsi="Times New Roman" w:cs="Times New Roman"/>
          <w:noProof/>
          <w:u w:val="single"/>
        </w:rPr>
        <w:lastRenderedPageBreak/>
        <w:drawing>
          <wp:inline distT="0" distB="0" distL="0" distR="0" wp14:anchorId="378F853D" wp14:editId="17F7359A">
            <wp:extent cx="5689600" cy="764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9600" cy="7645400"/>
                    </a:xfrm>
                    <a:prstGeom prst="rect">
                      <a:avLst/>
                    </a:prstGeom>
                    <a:noFill/>
                    <a:ln>
                      <a:noFill/>
                    </a:ln>
                  </pic:spPr>
                </pic:pic>
              </a:graphicData>
            </a:graphic>
          </wp:inline>
        </w:drawing>
      </w:r>
    </w:p>
    <w:p w14:paraId="68435D7A" w14:textId="77777777" w:rsidR="0011458E" w:rsidRPr="00B731DB" w:rsidRDefault="0011458E" w:rsidP="00B731DB">
      <w:pPr>
        <w:spacing w:line="360" w:lineRule="auto"/>
        <w:rPr>
          <w:rFonts w:ascii="Times New Roman" w:hAnsi="Times New Roman" w:cs="Times New Roman"/>
        </w:rPr>
      </w:pPr>
    </w:p>
    <w:sectPr w:rsidR="0011458E" w:rsidRPr="00B731DB" w:rsidSect="0003256D">
      <w:headerReference w:type="even" r:id="rId16"/>
      <w:headerReference w:type="default" r:id="rId17"/>
      <w:footerReference w:type="default" r:id="rId18"/>
      <w:headerReference w:type="first" r:id="rId19"/>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E961" w14:textId="77777777" w:rsidR="009F0BB2" w:rsidRDefault="009F0BB2" w:rsidP="00630010">
      <w:pPr>
        <w:spacing w:after="0" w:line="240" w:lineRule="auto"/>
      </w:pPr>
      <w:r>
        <w:separator/>
      </w:r>
    </w:p>
  </w:endnote>
  <w:endnote w:type="continuationSeparator" w:id="0">
    <w:p w14:paraId="12D090CC" w14:textId="77777777" w:rsidR="009F0BB2" w:rsidRDefault="009F0BB2" w:rsidP="0063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892608"/>
      <w:docPartObj>
        <w:docPartGallery w:val="Page Numbers (Bottom of Page)"/>
        <w:docPartUnique/>
      </w:docPartObj>
    </w:sdtPr>
    <w:sdtEndPr>
      <w:rPr>
        <w:noProof/>
      </w:rPr>
    </w:sdtEndPr>
    <w:sdtContent>
      <w:p w14:paraId="78835A13" w14:textId="07C7A621" w:rsidR="00415C3A" w:rsidRDefault="00415C3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4268394" w14:textId="77777777" w:rsidR="00415C3A" w:rsidRDefault="0041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6D54" w14:textId="77777777" w:rsidR="009F0BB2" w:rsidRDefault="009F0BB2" w:rsidP="00630010">
      <w:pPr>
        <w:spacing w:after="0" w:line="240" w:lineRule="auto"/>
      </w:pPr>
      <w:r>
        <w:separator/>
      </w:r>
    </w:p>
  </w:footnote>
  <w:footnote w:type="continuationSeparator" w:id="0">
    <w:p w14:paraId="71764EDF" w14:textId="77777777" w:rsidR="009F0BB2" w:rsidRDefault="009F0BB2" w:rsidP="0063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DEF8" w14:textId="289C0110" w:rsidR="003B4A43" w:rsidRDefault="009F0BB2">
    <w:pPr>
      <w:pStyle w:val="Header"/>
    </w:pPr>
    <w:r>
      <w:rPr>
        <w:noProof/>
      </w:rPr>
      <w:pict w14:anchorId="12B0E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wrapcoords="21305 4320 21207 4123 17967 4123 17803 4320 17738 4614 17280 4123 13941 4123 13745 4614 14203 7265 14596 8640 14563 12861 11683 4614 11290 3534 10996 4418 10145 10800 8116 5105 7429 3632 7200 4123 6447 4123 5727 4221 4941 4123 4712 4123 4549 5007 5400 7658 5400 9720 3632 5400 2945 3829 2781 4221 1996 4123 1309 4320 261 4123 130 4320 32 5105 883 9621 850 13843 621 15512 261 15512 130 15610 32 16003 32 16298 294 17083 327 17181 1145 16887 2650 17083 3207 16592 3730 15807 4876 17083 5563 16887 6283 16985 6480 17181 6741 16887 6840 16396 6872 16200 6610 14825 6054 11781 7396 15709 8280 17672 8574 17083 11029 16985 11127 16690 11127 16003 11978 17574 12272 16985 15938 17083 16167 16396 16069 15905 15283 12665 16330 13941 16494 13745 16527 13156 16560 12174 17149 13843 18752 17378 18949 17083 19636 16887 20356 16985 20716 16690 20650 16003 19898 13352 19898 6676 20814 9327 21240 10014 21469 9229 21436 4712 21436 4614 21305 4320" fillcolor="#bfbfbf [2412]" stroked="f">
          <v:textpath style="font-family:&quot;American Typewriter&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2ACA" w14:textId="433E98FC" w:rsidR="003B4A43" w:rsidRDefault="009F0BB2">
    <w:pPr>
      <w:pStyle w:val="Header"/>
    </w:pPr>
    <w:r>
      <w:rPr>
        <w:noProof/>
      </w:rPr>
      <w:pict w14:anchorId="58C61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494.9pt;height:164.95pt;rotation:315;z-index:-251657216;mso-wrap-edited:f;mso-width-percent:0;mso-height-percent:0;mso-position-horizontal:center;mso-position-horizontal-relative:margin;mso-position-vertical:center;mso-position-vertical-relative:margin;mso-width-percent:0;mso-height-percent:0" wrapcoords="21305 4320 21207 4123 17967 4123 17803 4320 17738 4614 17280 4123 13941 4123 13745 4614 14203 7265 14596 8640 14563 12861 11683 4614 11290 3534 10996 4418 10145 10800 8116 5105 7429 3632 7200 4123 6447 4123 5727 4221 4941 4123 4712 4123 4549 5007 5400 7658 5400 9720 3632 5400 2945 3829 2781 4221 1996 4123 1309 4320 261 4123 130 4320 32 5105 883 9621 850 13843 621 15512 261 15512 130 15610 32 16003 32 16298 294 17083 327 17181 1145 16887 2650 17083 3207 16592 3730 15807 4876 17083 5563 16887 6283 16985 6480 17181 6741 16887 6840 16396 6872 16200 6610 14825 6054 11781 7396 15709 8280 17672 8574 17083 11029 16985 11127 16690 11127 16003 11978 17574 12272 16985 15938 17083 16167 16396 16069 15905 15283 12665 16330 13941 16494 13745 16527 13156 16560 12174 17149 13843 18752 17378 18949 17083 19636 16887 20356 16985 20716 16690 20650 16003 19898 13352 19898 6676 20814 9327 21240 10014 21469 9229 21436 4712 21436 4614 21305 4320" fillcolor="#bfbfbf [2412]" stroked="f">
          <v:textpath style="font-family:&quot;American Typewriter&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0956" w14:textId="525EA844" w:rsidR="003B4A43" w:rsidRDefault="009F0BB2">
    <w:pPr>
      <w:pStyle w:val="Header"/>
    </w:pPr>
    <w:r>
      <w:rPr>
        <w:noProof/>
      </w:rPr>
      <w:pict w14:anchorId="55059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wrapcoords="21305 4320 21207 4123 17967 4123 17803 4320 17738 4614 17280 4123 13941 4123 13745 4614 14203 7265 14596 8640 14563 12861 11683 4614 11290 3534 10996 4418 10145 10800 8116 5105 7429 3632 7200 4123 6447 4123 5727 4221 4941 4123 4712 4123 4549 5007 5400 7658 5400 9720 3632 5400 2945 3829 2781 4221 1996 4123 1309 4320 261 4123 130 4320 32 5105 883 9621 850 13843 621 15512 261 15512 130 15610 32 16003 32 16298 294 17083 327 17181 1145 16887 2650 17083 3207 16592 3730 15807 4876 17083 5563 16887 6283 16985 6480 17181 6741 16887 6840 16396 6872 16200 6610 14825 6054 11781 7396 15709 8280 17672 8574 17083 11029 16985 11127 16690 11127 16003 11978 17574 12272 16985 15938 17083 16167 16396 16069 15905 15283 12665 16330 13941 16494 13745 16527 13156 16560 12174 17149 13843 18752 17378 18949 17083 19636 16887 20356 16985 20716 16690 20650 16003 19898 13352 19898 6676 20814 9327 21240 10014 21469 9229 21436 4712 21436 4614 21305 4320" fillcolor="#bfbfbf [2412]" stroked="f">
          <v:textpath style="font-family:&quot;American Typewrite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42"/>
    <w:multiLevelType w:val="hybridMultilevel"/>
    <w:tmpl w:val="EF70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4246"/>
    <w:multiLevelType w:val="hybridMultilevel"/>
    <w:tmpl w:val="6C76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B6F22"/>
    <w:multiLevelType w:val="hybridMultilevel"/>
    <w:tmpl w:val="5266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18A4"/>
    <w:multiLevelType w:val="hybridMultilevel"/>
    <w:tmpl w:val="FCAC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A0D8B"/>
    <w:multiLevelType w:val="multilevel"/>
    <w:tmpl w:val="5EA4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B80756"/>
    <w:multiLevelType w:val="hybridMultilevel"/>
    <w:tmpl w:val="542C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F7723"/>
    <w:multiLevelType w:val="hybridMultilevel"/>
    <w:tmpl w:val="9DB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D0342"/>
    <w:multiLevelType w:val="hybridMultilevel"/>
    <w:tmpl w:val="573E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D508C"/>
    <w:multiLevelType w:val="hybridMultilevel"/>
    <w:tmpl w:val="8116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A7330"/>
    <w:multiLevelType w:val="hybridMultilevel"/>
    <w:tmpl w:val="B7C0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A7D5B"/>
    <w:multiLevelType w:val="hybridMultilevel"/>
    <w:tmpl w:val="C274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F5861"/>
    <w:multiLevelType w:val="hybridMultilevel"/>
    <w:tmpl w:val="9F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67CDC"/>
    <w:multiLevelType w:val="hybridMultilevel"/>
    <w:tmpl w:val="8E88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44844"/>
    <w:multiLevelType w:val="hybridMultilevel"/>
    <w:tmpl w:val="4AF88176"/>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7C4E7CF5"/>
    <w:multiLevelType w:val="hybridMultilevel"/>
    <w:tmpl w:val="484A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02476"/>
    <w:multiLevelType w:val="hybridMultilevel"/>
    <w:tmpl w:val="E942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3"/>
  </w:num>
  <w:num w:numId="5">
    <w:abstractNumId w:val="15"/>
  </w:num>
  <w:num w:numId="6">
    <w:abstractNumId w:val="7"/>
  </w:num>
  <w:num w:numId="7">
    <w:abstractNumId w:val="0"/>
  </w:num>
  <w:num w:numId="8">
    <w:abstractNumId w:val="5"/>
  </w:num>
  <w:num w:numId="9">
    <w:abstractNumId w:val="12"/>
  </w:num>
  <w:num w:numId="10">
    <w:abstractNumId w:val="1"/>
  </w:num>
  <w:num w:numId="11">
    <w:abstractNumId w:val="10"/>
  </w:num>
  <w:num w:numId="12">
    <w:abstractNumId w:val="6"/>
  </w:num>
  <w:num w:numId="13">
    <w:abstractNumId w:val="9"/>
  </w:num>
  <w:num w:numId="14">
    <w:abstractNumId w:val="14"/>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F9"/>
    <w:rsid w:val="00026D5B"/>
    <w:rsid w:val="0003256D"/>
    <w:rsid w:val="000B003A"/>
    <w:rsid w:val="001051E3"/>
    <w:rsid w:val="00111BA5"/>
    <w:rsid w:val="001142E9"/>
    <w:rsid w:val="0011458E"/>
    <w:rsid w:val="0014799B"/>
    <w:rsid w:val="001548E6"/>
    <w:rsid w:val="00175AA0"/>
    <w:rsid w:val="00192ED0"/>
    <w:rsid w:val="001B5FB1"/>
    <w:rsid w:val="0022104B"/>
    <w:rsid w:val="00240237"/>
    <w:rsid w:val="0024654A"/>
    <w:rsid w:val="00263311"/>
    <w:rsid w:val="002A562F"/>
    <w:rsid w:val="002B02E2"/>
    <w:rsid w:val="002C3465"/>
    <w:rsid w:val="00340EBF"/>
    <w:rsid w:val="003737CD"/>
    <w:rsid w:val="003B4A43"/>
    <w:rsid w:val="003E7401"/>
    <w:rsid w:val="00403442"/>
    <w:rsid w:val="0040412D"/>
    <w:rsid w:val="00415C3A"/>
    <w:rsid w:val="00424CEA"/>
    <w:rsid w:val="00426420"/>
    <w:rsid w:val="00455635"/>
    <w:rsid w:val="00465273"/>
    <w:rsid w:val="00482468"/>
    <w:rsid w:val="005018D3"/>
    <w:rsid w:val="00502BF5"/>
    <w:rsid w:val="00515911"/>
    <w:rsid w:val="005272FF"/>
    <w:rsid w:val="005A172A"/>
    <w:rsid w:val="005A195C"/>
    <w:rsid w:val="005E7C2C"/>
    <w:rsid w:val="0061726E"/>
    <w:rsid w:val="00630010"/>
    <w:rsid w:val="0065756E"/>
    <w:rsid w:val="006A1DAF"/>
    <w:rsid w:val="006A68E3"/>
    <w:rsid w:val="007435DE"/>
    <w:rsid w:val="007E28FF"/>
    <w:rsid w:val="007F682B"/>
    <w:rsid w:val="007F7DC1"/>
    <w:rsid w:val="00817EAE"/>
    <w:rsid w:val="008773A6"/>
    <w:rsid w:val="0088116E"/>
    <w:rsid w:val="00895204"/>
    <w:rsid w:val="008A619E"/>
    <w:rsid w:val="008E7F43"/>
    <w:rsid w:val="008F2093"/>
    <w:rsid w:val="009028BA"/>
    <w:rsid w:val="00913A93"/>
    <w:rsid w:val="009311F9"/>
    <w:rsid w:val="00943305"/>
    <w:rsid w:val="00957C2B"/>
    <w:rsid w:val="009F0BB2"/>
    <w:rsid w:val="00A3493D"/>
    <w:rsid w:val="00A547D8"/>
    <w:rsid w:val="00A61B77"/>
    <w:rsid w:val="00A9266D"/>
    <w:rsid w:val="00AE5163"/>
    <w:rsid w:val="00B07B16"/>
    <w:rsid w:val="00B13606"/>
    <w:rsid w:val="00B156FA"/>
    <w:rsid w:val="00B15CF8"/>
    <w:rsid w:val="00B731DB"/>
    <w:rsid w:val="00B77B06"/>
    <w:rsid w:val="00B83E6A"/>
    <w:rsid w:val="00BE206F"/>
    <w:rsid w:val="00BE3B34"/>
    <w:rsid w:val="00BE525D"/>
    <w:rsid w:val="00C016BA"/>
    <w:rsid w:val="00C1211E"/>
    <w:rsid w:val="00C3370E"/>
    <w:rsid w:val="00C377E9"/>
    <w:rsid w:val="00C867A1"/>
    <w:rsid w:val="00D2393E"/>
    <w:rsid w:val="00D50019"/>
    <w:rsid w:val="00D63090"/>
    <w:rsid w:val="00D732CB"/>
    <w:rsid w:val="00DB09D2"/>
    <w:rsid w:val="00DC29E0"/>
    <w:rsid w:val="00DD0566"/>
    <w:rsid w:val="00DD1827"/>
    <w:rsid w:val="00DD53BB"/>
    <w:rsid w:val="00E639F2"/>
    <w:rsid w:val="00E755A8"/>
    <w:rsid w:val="00ED11F1"/>
    <w:rsid w:val="00ED2353"/>
    <w:rsid w:val="00ED3F3F"/>
    <w:rsid w:val="00EE4160"/>
    <w:rsid w:val="00EE64AE"/>
    <w:rsid w:val="00F02306"/>
    <w:rsid w:val="00F1671E"/>
    <w:rsid w:val="00F672D0"/>
    <w:rsid w:val="00FA1D43"/>
    <w:rsid w:val="00FD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8755AF"/>
  <w15:docId w15:val="{E1F037DE-919A-4937-BFC5-1C92F912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11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1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E206F"/>
    <w:pPr>
      <w:ind w:left="720"/>
      <w:contextualSpacing/>
    </w:pPr>
  </w:style>
  <w:style w:type="paragraph" w:styleId="Header">
    <w:name w:val="header"/>
    <w:basedOn w:val="Normal"/>
    <w:link w:val="HeaderChar"/>
    <w:uiPriority w:val="99"/>
    <w:unhideWhenUsed/>
    <w:rsid w:val="006300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0010"/>
  </w:style>
  <w:style w:type="paragraph" w:styleId="Footer">
    <w:name w:val="footer"/>
    <w:basedOn w:val="Normal"/>
    <w:link w:val="FooterChar"/>
    <w:uiPriority w:val="99"/>
    <w:unhideWhenUsed/>
    <w:rsid w:val="006300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0010"/>
  </w:style>
  <w:style w:type="paragraph" w:customStyle="1" w:styleId="Default">
    <w:name w:val="Default"/>
    <w:rsid w:val="0040412D"/>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13A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A93"/>
    <w:rPr>
      <w:rFonts w:ascii="Lucida Grande" w:hAnsi="Lucida Grande" w:cs="Lucida Grande"/>
      <w:sz w:val="18"/>
      <w:szCs w:val="18"/>
    </w:rPr>
  </w:style>
  <w:style w:type="paragraph" w:styleId="NormalWeb">
    <w:name w:val="Normal (Web)"/>
    <w:basedOn w:val="Normal"/>
    <w:uiPriority w:val="99"/>
    <w:unhideWhenUsed/>
    <w:rsid w:val="0088116E"/>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881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29100">
      <w:bodyDiv w:val="1"/>
      <w:marLeft w:val="0"/>
      <w:marRight w:val="0"/>
      <w:marTop w:val="0"/>
      <w:marBottom w:val="0"/>
      <w:divBdr>
        <w:top w:val="none" w:sz="0" w:space="0" w:color="auto"/>
        <w:left w:val="none" w:sz="0" w:space="0" w:color="auto"/>
        <w:bottom w:val="none" w:sz="0" w:space="0" w:color="auto"/>
        <w:right w:val="none" w:sz="0" w:space="0" w:color="auto"/>
      </w:divBdr>
      <w:divsChild>
        <w:div w:id="390660524">
          <w:marLeft w:val="0"/>
          <w:marRight w:val="0"/>
          <w:marTop w:val="0"/>
          <w:marBottom w:val="0"/>
          <w:divBdr>
            <w:top w:val="none" w:sz="0" w:space="0" w:color="auto"/>
            <w:left w:val="none" w:sz="0" w:space="0" w:color="auto"/>
            <w:bottom w:val="none" w:sz="0" w:space="0" w:color="auto"/>
            <w:right w:val="none" w:sz="0" w:space="0" w:color="auto"/>
          </w:divBdr>
          <w:divsChild>
            <w:div w:id="1764573736">
              <w:marLeft w:val="0"/>
              <w:marRight w:val="0"/>
              <w:marTop w:val="0"/>
              <w:marBottom w:val="0"/>
              <w:divBdr>
                <w:top w:val="none" w:sz="0" w:space="0" w:color="auto"/>
                <w:left w:val="none" w:sz="0" w:space="0" w:color="auto"/>
                <w:bottom w:val="none" w:sz="0" w:space="0" w:color="auto"/>
                <w:right w:val="none" w:sz="0" w:space="0" w:color="auto"/>
              </w:divBdr>
              <w:divsChild>
                <w:div w:id="16500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7915">
      <w:bodyDiv w:val="1"/>
      <w:marLeft w:val="0"/>
      <w:marRight w:val="0"/>
      <w:marTop w:val="0"/>
      <w:marBottom w:val="0"/>
      <w:divBdr>
        <w:top w:val="none" w:sz="0" w:space="0" w:color="auto"/>
        <w:left w:val="none" w:sz="0" w:space="0" w:color="auto"/>
        <w:bottom w:val="none" w:sz="0" w:space="0" w:color="auto"/>
        <w:right w:val="none" w:sz="0" w:space="0" w:color="auto"/>
      </w:divBdr>
      <w:divsChild>
        <w:div w:id="357196188">
          <w:marLeft w:val="0"/>
          <w:marRight w:val="0"/>
          <w:marTop w:val="0"/>
          <w:marBottom w:val="0"/>
          <w:divBdr>
            <w:top w:val="none" w:sz="0" w:space="0" w:color="auto"/>
            <w:left w:val="none" w:sz="0" w:space="0" w:color="auto"/>
            <w:bottom w:val="none" w:sz="0" w:space="0" w:color="auto"/>
            <w:right w:val="none" w:sz="0" w:space="0" w:color="auto"/>
          </w:divBdr>
          <w:divsChild>
            <w:div w:id="1823154015">
              <w:marLeft w:val="0"/>
              <w:marRight w:val="0"/>
              <w:marTop w:val="0"/>
              <w:marBottom w:val="0"/>
              <w:divBdr>
                <w:top w:val="none" w:sz="0" w:space="0" w:color="auto"/>
                <w:left w:val="none" w:sz="0" w:space="0" w:color="auto"/>
                <w:bottom w:val="none" w:sz="0" w:space="0" w:color="auto"/>
                <w:right w:val="none" w:sz="0" w:space="0" w:color="auto"/>
              </w:divBdr>
              <w:divsChild>
                <w:div w:id="51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5080">
      <w:bodyDiv w:val="1"/>
      <w:marLeft w:val="0"/>
      <w:marRight w:val="0"/>
      <w:marTop w:val="0"/>
      <w:marBottom w:val="0"/>
      <w:divBdr>
        <w:top w:val="none" w:sz="0" w:space="0" w:color="auto"/>
        <w:left w:val="none" w:sz="0" w:space="0" w:color="auto"/>
        <w:bottom w:val="none" w:sz="0" w:space="0" w:color="auto"/>
        <w:right w:val="none" w:sz="0" w:space="0" w:color="auto"/>
      </w:divBdr>
      <w:divsChild>
        <w:div w:id="214321313">
          <w:marLeft w:val="0"/>
          <w:marRight w:val="0"/>
          <w:marTop w:val="0"/>
          <w:marBottom w:val="0"/>
          <w:divBdr>
            <w:top w:val="none" w:sz="0" w:space="0" w:color="auto"/>
            <w:left w:val="none" w:sz="0" w:space="0" w:color="auto"/>
            <w:bottom w:val="none" w:sz="0" w:space="0" w:color="auto"/>
            <w:right w:val="none" w:sz="0" w:space="0" w:color="auto"/>
          </w:divBdr>
          <w:divsChild>
            <w:div w:id="1334525486">
              <w:marLeft w:val="0"/>
              <w:marRight w:val="0"/>
              <w:marTop w:val="0"/>
              <w:marBottom w:val="0"/>
              <w:divBdr>
                <w:top w:val="none" w:sz="0" w:space="0" w:color="auto"/>
                <w:left w:val="none" w:sz="0" w:space="0" w:color="auto"/>
                <w:bottom w:val="none" w:sz="0" w:space="0" w:color="auto"/>
                <w:right w:val="none" w:sz="0" w:space="0" w:color="auto"/>
              </w:divBdr>
              <w:divsChild>
                <w:div w:id="11253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C10F-2C6C-42A0-92BF-DF2032ED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Linfield College</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Crosser</dc:creator>
  <cp:keywords/>
  <dc:description/>
  <cp:lastModifiedBy>Dawn Nowacki</cp:lastModifiedBy>
  <cp:revision>2</cp:revision>
  <dcterms:created xsi:type="dcterms:W3CDTF">2023-10-17T20:47:00Z</dcterms:created>
  <dcterms:modified xsi:type="dcterms:W3CDTF">2023-10-17T20:47:00Z</dcterms:modified>
</cp:coreProperties>
</file>