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398F" w14:textId="0315EF98" w:rsidR="00316B1B" w:rsidRDefault="17E55B45" w:rsidP="6B29013E">
      <w:pPr>
        <w:pStyle w:val="Title"/>
        <w:jc w:val="center"/>
        <w:rPr>
          <w:sz w:val="48"/>
          <w:szCs w:val="48"/>
        </w:rPr>
      </w:pPr>
      <w:r w:rsidRPr="4AD5620D">
        <w:rPr>
          <w:sz w:val="48"/>
          <w:szCs w:val="48"/>
        </w:rPr>
        <w:t>Linfield University Education Department</w:t>
      </w:r>
    </w:p>
    <w:p w14:paraId="02118491" w14:textId="2E2D1F63" w:rsidR="00316B1B" w:rsidRDefault="17E55B45" w:rsidP="6B29013E">
      <w:pPr>
        <w:pStyle w:val="Title"/>
        <w:jc w:val="center"/>
        <w:rPr>
          <w:sz w:val="48"/>
          <w:szCs w:val="48"/>
        </w:rPr>
      </w:pPr>
      <w:r w:rsidRPr="6B29013E">
        <w:rPr>
          <w:sz w:val="48"/>
          <w:szCs w:val="48"/>
        </w:rPr>
        <w:t>Promotion &amp; Tenure Departmental Guidelines</w:t>
      </w:r>
    </w:p>
    <w:p w14:paraId="63D64E07" w14:textId="5CF18FB3" w:rsidR="5193EEE9" w:rsidRDefault="6C162787" w:rsidP="34D58E8A">
      <w:pPr>
        <w:jc w:val="center"/>
      </w:pPr>
      <w:r w:rsidRPr="1CB7E602">
        <w:rPr>
          <w:rFonts w:ascii="Arial" w:eastAsia="Arial" w:hAnsi="Arial" w:cs="Arial"/>
          <w:color w:val="000000" w:themeColor="text1"/>
        </w:rPr>
        <w:t>2023 Spring</w:t>
      </w:r>
    </w:p>
    <w:sdt>
      <w:sdtPr>
        <w:id w:val="1697329652"/>
        <w:docPartObj>
          <w:docPartGallery w:val="Table of Contents"/>
          <w:docPartUnique/>
        </w:docPartObj>
      </w:sdtPr>
      <w:sdtEndPr/>
      <w:sdtContent>
        <w:p w14:paraId="7D6B0AC3" w14:textId="1F680D1C" w:rsidR="1CB7E602" w:rsidRDefault="1CB7E602" w:rsidP="1CB7E602">
          <w:pPr>
            <w:pStyle w:val="TOC1"/>
            <w:tabs>
              <w:tab w:val="right" w:leader="dot" w:pos="9360"/>
            </w:tabs>
          </w:pPr>
        </w:p>
        <w:p w14:paraId="44E62037" w14:textId="7FA83A4A" w:rsidR="005C7770" w:rsidRDefault="005C7770" w:rsidP="3941B942">
          <w:pPr>
            <w:pStyle w:val="TOC1"/>
            <w:tabs>
              <w:tab w:val="right" w:leader="dot" w:pos="9360"/>
            </w:tabs>
            <w:rPr>
              <w:rStyle w:val="Hyperlink"/>
              <w:noProof/>
              <w:lang w:eastAsia="ja-JP"/>
            </w:rPr>
          </w:pPr>
          <w:r>
            <w:fldChar w:fldCharType="begin"/>
          </w:r>
          <w:r w:rsidR="2FC4D52D">
            <w:instrText>TOC \o \z \u \h</w:instrText>
          </w:r>
          <w:r>
            <w:fldChar w:fldCharType="separate"/>
          </w:r>
          <w:hyperlink w:anchor="_Toc484816946">
            <w:r w:rsidR="3941B942" w:rsidRPr="3941B942">
              <w:rPr>
                <w:rStyle w:val="Hyperlink"/>
              </w:rPr>
              <w:t>PART 1: Department Context</w:t>
            </w:r>
            <w:r w:rsidR="2FC4D52D">
              <w:tab/>
            </w:r>
            <w:r w:rsidR="2FC4D52D">
              <w:fldChar w:fldCharType="begin"/>
            </w:r>
            <w:r w:rsidR="2FC4D52D">
              <w:instrText>PAGEREF _Toc484816946 \h</w:instrText>
            </w:r>
            <w:r w:rsidR="2FC4D52D">
              <w:fldChar w:fldCharType="separate"/>
            </w:r>
            <w:r w:rsidR="3941B942" w:rsidRPr="3941B942">
              <w:rPr>
                <w:rStyle w:val="Hyperlink"/>
              </w:rPr>
              <w:t>1</w:t>
            </w:r>
            <w:r w:rsidR="2FC4D52D">
              <w:fldChar w:fldCharType="end"/>
            </w:r>
          </w:hyperlink>
        </w:p>
        <w:p w14:paraId="4B6EA5D6" w14:textId="1B8B6E45" w:rsidR="005C7770" w:rsidRDefault="00181FC3" w:rsidP="3941B942">
          <w:pPr>
            <w:pStyle w:val="TOC1"/>
            <w:tabs>
              <w:tab w:val="right" w:leader="dot" w:pos="9360"/>
            </w:tabs>
            <w:rPr>
              <w:rStyle w:val="Hyperlink"/>
              <w:noProof/>
              <w:lang w:eastAsia="ja-JP"/>
            </w:rPr>
          </w:pPr>
          <w:hyperlink w:anchor="_Toc321094630">
            <w:r w:rsidR="3941B942" w:rsidRPr="3941B942">
              <w:rPr>
                <w:rStyle w:val="Hyperlink"/>
              </w:rPr>
              <w:t>PART 2: Promotion and Tenure Overview</w:t>
            </w:r>
            <w:r w:rsidR="005C7770">
              <w:tab/>
            </w:r>
            <w:r w:rsidR="005C7770">
              <w:fldChar w:fldCharType="begin"/>
            </w:r>
            <w:r w:rsidR="005C7770">
              <w:instrText>PAGEREF _Toc321094630 \h</w:instrText>
            </w:r>
            <w:r w:rsidR="005C7770">
              <w:fldChar w:fldCharType="separate"/>
            </w:r>
            <w:r w:rsidR="3941B942" w:rsidRPr="3941B942">
              <w:rPr>
                <w:rStyle w:val="Hyperlink"/>
              </w:rPr>
              <w:t>3</w:t>
            </w:r>
            <w:r w:rsidR="005C7770">
              <w:fldChar w:fldCharType="end"/>
            </w:r>
          </w:hyperlink>
        </w:p>
        <w:p w14:paraId="6EDCE3FF" w14:textId="0CA90572" w:rsidR="005C7770" w:rsidRDefault="00181FC3" w:rsidP="3941B942">
          <w:pPr>
            <w:pStyle w:val="TOC1"/>
            <w:tabs>
              <w:tab w:val="right" w:leader="dot" w:pos="9360"/>
            </w:tabs>
            <w:rPr>
              <w:rStyle w:val="Hyperlink"/>
              <w:noProof/>
              <w:lang w:eastAsia="ja-JP"/>
            </w:rPr>
          </w:pPr>
          <w:hyperlink w:anchor="_Toc242735316">
            <w:r w:rsidR="3941B942" w:rsidRPr="3941B942">
              <w:rPr>
                <w:rStyle w:val="Hyperlink"/>
              </w:rPr>
              <w:t>PART 3: Teaching Effectiveness</w:t>
            </w:r>
            <w:r w:rsidR="005C7770">
              <w:tab/>
            </w:r>
            <w:r w:rsidR="005C7770">
              <w:fldChar w:fldCharType="begin"/>
            </w:r>
            <w:r w:rsidR="005C7770">
              <w:instrText>PAGEREF _Toc242735316 \h</w:instrText>
            </w:r>
            <w:r w:rsidR="005C7770">
              <w:fldChar w:fldCharType="separate"/>
            </w:r>
            <w:r w:rsidR="3941B942" w:rsidRPr="3941B942">
              <w:rPr>
                <w:rStyle w:val="Hyperlink"/>
              </w:rPr>
              <w:t>4</w:t>
            </w:r>
            <w:r w:rsidR="005C7770">
              <w:fldChar w:fldCharType="end"/>
            </w:r>
          </w:hyperlink>
        </w:p>
        <w:p w14:paraId="2B23A500" w14:textId="2D318983" w:rsidR="005C7770" w:rsidRDefault="00181FC3" w:rsidP="3941B942">
          <w:pPr>
            <w:pStyle w:val="TOC2"/>
            <w:tabs>
              <w:tab w:val="right" w:leader="dot" w:pos="9360"/>
            </w:tabs>
            <w:rPr>
              <w:rStyle w:val="Hyperlink"/>
              <w:noProof/>
              <w:lang w:eastAsia="ja-JP"/>
            </w:rPr>
          </w:pPr>
          <w:hyperlink w:anchor="_Toc924273242">
            <w:r w:rsidR="3941B942" w:rsidRPr="3941B942">
              <w:rPr>
                <w:rStyle w:val="Hyperlink"/>
              </w:rPr>
              <w:t>3.A Promotion and Tenure Criteria: Teaching Effectiveness</w:t>
            </w:r>
            <w:r w:rsidR="005C7770">
              <w:tab/>
            </w:r>
            <w:r w:rsidR="005C7770">
              <w:fldChar w:fldCharType="begin"/>
            </w:r>
            <w:r w:rsidR="005C7770">
              <w:instrText>PAGEREF _Toc924273242 \h</w:instrText>
            </w:r>
            <w:r w:rsidR="005C7770">
              <w:fldChar w:fldCharType="separate"/>
            </w:r>
            <w:r w:rsidR="3941B942" w:rsidRPr="3941B942">
              <w:rPr>
                <w:rStyle w:val="Hyperlink"/>
              </w:rPr>
              <w:t>5</w:t>
            </w:r>
            <w:r w:rsidR="005C7770">
              <w:fldChar w:fldCharType="end"/>
            </w:r>
          </w:hyperlink>
        </w:p>
        <w:p w14:paraId="117DB21E" w14:textId="5989AF84" w:rsidR="005C7770" w:rsidRDefault="00181FC3" w:rsidP="3941B942">
          <w:pPr>
            <w:pStyle w:val="TOC2"/>
            <w:tabs>
              <w:tab w:val="right" w:leader="dot" w:pos="9360"/>
            </w:tabs>
            <w:rPr>
              <w:rStyle w:val="Hyperlink"/>
              <w:noProof/>
              <w:lang w:eastAsia="ja-JP"/>
            </w:rPr>
          </w:pPr>
          <w:hyperlink w:anchor="_Toc2045235256">
            <w:r w:rsidR="3941B942" w:rsidRPr="3941B942">
              <w:rPr>
                <w:rStyle w:val="Hyperlink"/>
              </w:rPr>
              <w:t>3.B Evidence of Teaching Effectiveness</w:t>
            </w:r>
            <w:r w:rsidR="005C7770">
              <w:tab/>
            </w:r>
            <w:r w:rsidR="005C7770">
              <w:fldChar w:fldCharType="begin"/>
            </w:r>
            <w:r w:rsidR="005C7770">
              <w:instrText>PAGEREF _Toc2045235256 \h</w:instrText>
            </w:r>
            <w:r w:rsidR="005C7770">
              <w:fldChar w:fldCharType="separate"/>
            </w:r>
            <w:r w:rsidR="3941B942" w:rsidRPr="3941B942">
              <w:rPr>
                <w:rStyle w:val="Hyperlink"/>
              </w:rPr>
              <w:t>7</w:t>
            </w:r>
            <w:r w:rsidR="005C7770">
              <w:fldChar w:fldCharType="end"/>
            </w:r>
          </w:hyperlink>
        </w:p>
        <w:p w14:paraId="1E26D675" w14:textId="363ACC0E" w:rsidR="005C7770" w:rsidRDefault="00181FC3" w:rsidP="3941B942">
          <w:pPr>
            <w:pStyle w:val="TOC2"/>
            <w:tabs>
              <w:tab w:val="right" w:leader="dot" w:pos="9360"/>
            </w:tabs>
            <w:rPr>
              <w:rStyle w:val="Hyperlink"/>
              <w:noProof/>
              <w:lang w:eastAsia="ja-JP"/>
            </w:rPr>
          </w:pPr>
          <w:hyperlink w:anchor="_Toc1975700353">
            <w:r w:rsidR="3941B942" w:rsidRPr="3941B942">
              <w:rPr>
                <w:rStyle w:val="Hyperlink"/>
              </w:rPr>
              <w:t>3.C Role of Classroom Observations in Evaluation</w:t>
            </w:r>
            <w:r w:rsidR="005C7770">
              <w:tab/>
            </w:r>
            <w:r w:rsidR="005C7770">
              <w:fldChar w:fldCharType="begin"/>
            </w:r>
            <w:r w:rsidR="005C7770">
              <w:instrText>PAGEREF _Toc1975700353 \h</w:instrText>
            </w:r>
            <w:r w:rsidR="005C7770">
              <w:fldChar w:fldCharType="separate"/>
            </w:r>
            <w:r w:rsidR="3941B942" w:rsidRPr="3941B942">
              <w:rPr>
                <w:rStyle w:val="Hyperlink"/>
              </w:rPr>
              <w:t>7</w:t>
            </w:r>
            <w:r w:rsidR="005C7770">
              <w:fldChar w:fldCharType="end"/>
            </w:r>
          </w:hyperlink>
        </w:p>
        <w:p w14:paraId="52FE0AC3" w14:textId="605D995C" w:rsidR="005C7770" w:rsidRDefault="00181FC3" w:rsidP="3941B942">
          <w:pPr>
            <w:pStyle w:val="TOC1"/>
            <w:tabs>
              <w:tab w:val="right" w:leader="dot" w:pos="9360"/>
            </w:tabs>
            <w:rPr>
              <w:rStyle w:val="Hyperlink"/>
              <w:noProof/>
              <w:lang w:eastAsia="ja-JP"/>
            </w:rPr>
          </w:pPr>
          <w:hyperlink w:anchor="_Toc514512058">
            <w:r w:rsidR="3941B942" w:rsidRPr="3941B942">
              <w:rPr>
                <w:rStyle w:val="Hyperlink"/>
              </w:rPr>
              <w:t>PART 4: Professional Achievements</w:t>
            </w:r>
            <w:r w:rsidR="005C7770">
              <w:tab/>
            </w:r>
            <w:r w:rsidR="005C7770">
              <w:fldChar w:fldCharType="begin"/>
            </w:r>
            <w:r w:rsidR="005C7770">
              <w:instrText>PAGEREF _Toc514512058 \h</w:instrText>
            </w:r>
            <w:r w:rsidR="005C7770">
              <w:fldChar w:fldCharType="separate"/>
            </w:r>
            <w:r w:rsidR="3941B942" w:rsidRPr="3941B942">
              <w:rPr>
                <w:rStyle w:val="Hyperlink"/>
              </w:rPr>
              <w:t>8</w:t>
            </w:r>
            <w:r w:rsidR="005C7770">
              <w:fldChar w:fldCharType="end"/>
            </w:r>
          </w:hyperlink>
        </w:p>
        <w:p w14:paraId="76EFC6E2" w14:textId="599D7362" w:rsidR="005C7770" w:rsidRDefault="00181FC3" w:rsidP="3941B942">
          <w:pPr>
            <w:pStyle w:val="TOC2"/>
            <w:tabs>
              <w:tab w:val="right" w:leader="dot" w:pos="9360"/>
            </w:tabs>
            <w:rPr>
              <w:rStyle w:val="Hyperlink"/>
              <w:noProof/>
              <w:lang w:eastAsia="ja-JP"/>
            </w:rPr>
          </w:pPr>
          <w:hyperlink w:anchor="_Toc1778266724">
            <w:r w:rsidR="3941B942" w:rsidRPr="3941B942">
              <w:rPr>
                <w:rStyle w:val="Hyperlink"/>
              </w:rPr>
              <w:t>4.A Promotion and Tenure Criteria: Professional Achievements</w:t>
            </w:r>
            <w:r w:rsidR="005C7770">
              <w:tab/>
            </w:r>
            <w:r w:rsidR="005C7770">
              <w:fldChar w:fldCharType="begin"/>
            </w:r>
            <w:r w:rsidR="005C7770">
              <w:instrText>PAGEREF _Toc1778266724 \h</w:instrText>
            </w:r>
            <w:r w:rsidR="005C7770">
              <w:fldChar w:fldCharType="separate"/>
            </w:r>
            <w:r w:rsidR="3941B942" w:rsidRPr="3941B942">
              <w:rPr>
                <w:rStyle w:val="Hyperlink"/>
              </w:rPr>
              <w:t>9</w:t>
            </w:r>
            <w:r w:rsidR="005C7770">
              <w:fldChar w:fldCharType="end"/>
            </w:r>
          </w:hyperlink>
        </w:p>
        <w:p w14:paraId="67ADC974" w14:textId="26EC6034" w:rsidR="005C7770" w:rsidRDefault="00181FC3" w:rsidP="3941B942">
          <w:pPr>
            <w:pStyle w:val="TOC2"/>
            <w:tabs>
              <w:tab w:val="right" w:leader="dot" w:pos="9360"/>
            </w:tabs>
            <w:rPr>
              <w:rStyle w:val="Hyperlink"/>
              <w:noProof/>
              <w:lang w:eastAsia="ja-JP"/>
            </w:rPr>
          </w:pPr>
          <w:hyperlink w:anchor="_Toc1128533830">
            <w:r w:rsidR="3941B942" w:rsidRPr="3941B942">
              <w:rPr>
                <w:rStyle w:val="Hyperlink"/>
              </w:rPr>
              <w:t>4.B Evidence of Professional Achievements</w:t>
            </w:r>
            <w:r w:rsidR="005C7770">
              <w:tab/>
            </w:r>
            <w:r w:rsidR="005C7770">
              <w:fldChar w:fldCharType="begin"/>
            </w:r>
            <w:r w:rsidR="005C7770">
              <w:instrText>PAGEREF _Toc1128533830 \h</w:instrText>
            </w:r>
            <w:r w:rsidR="005C7770">
              <w:fldChar w:fldCharType="separate"/>
            </w:r>
            <w:r w:rsidR="3941B942" w:rsidRPr="3941B942">
              <w:rPr>
                <w:rStyle w:val="Hyperlink"/>
              </w:rPr>
              <w:t>10</w:t>
            </w:r>
            <w:r w:rsidR="005C7770">
              <w:fldChar w:fldCharType="end"/>
            </w:r>
          </w:hyperlink>
        </w:p>
        <w:p w14:paraId="11166300" w14:textId="110F9BA8" w:rsidR="005C7770" w:rsidRDefault="00181FC3" w:rsidP="3941B942">
          <w:pPr>
            <w:pStyle w:val="TOC3"/>
            <w:tabs>
              <w:tab w:val="right" w:leader="dot" w:pos="9360"/>
            </w:tabs>
            <w:rPr>
              <w:rStyle w:val="Hyperlink"/>
              <w:noProof/>
              <w:lang w:eastAsia="ja-JP"/>
            </w:rPr>
          </w:pPr>
          <w:hyperlink w:anchor="_Toc402755586">
            <w:r w:rsidR="3941B942" w:rsidRPr="3941B942">
              <w:rPr>
                <w:rStyle w:val="Hyperlink"/>
              </w:rPr>
              <w:t>Tier 1 Evidence</w:t>
            </w:r>
            <w:r w:rsidR="005C7770">
              <w:tab/>
            </w:r>
            <w:r w:rsidR="005C7770">
              <w:fldChar w:fldCharType="begin"/>
            </w:r>
            <w:r w:rsidR="005C7770">
              <w:instrText>PAGEREF _Toc402755586 \h</w:instrText>
            </w:r>
            <w:r w:rsidR="005C7770">
              <w:fldChar w:fldCharType="separate"/>
            </w:r>
            <w:r w:rsidR="3941B942" w:rsidRPr="3941B942">
              <w:rPr>
                <w:rStyle w:val="Hyperlink"/>
              </w:rPr>
              <w:t>10</w:t>
            </w:r>
            <w:r w:rsidR="005C7770">
              <w:fldChar w:fldCharType="end"/>
            </w:r>
          </w:hyperlink>
        </w:p>
        <w:p w14:paraId="22E0B425" w14:textId="319E9C6F" w:rsidR="005C7770" w:rsidRDefault="00181FC3" w:rsidP="3941B942">
          <w:pPr>
            <w:pStyle w:val="TOC3"/>
            <w:tabs>
              <w:tab w:val="right" w:leader="dot" w:pos="9360"/>
            </w:tabs>
            <w:rPr>
              <w:rStyle w:val="Hyperlink"/>
              <w:noProof/>
              <w:lang w:eastAsia="ja-JP"/>
            </w:rPr>
          </w:pPr>
          <w:hyperlink w:anchor="_Toc256754091">
            <w:r w:rsidR="3941B942" w:rsidRPr="3941B942">
              <w:rPr>
                <w:rStyle w:val="Hyperlink"/>
              </w:rPr>
              <w:t>Tier 2 Evidence</w:t>
            </w:r>
            <w:r w:rsidR="005C7770">
              <w:tab/>
            </w:r>
            <w:r w:rsidR="005C7770">
              <w:fldChar w:fldCharType="begin"/>
            </w:r>
            <w:r w:rsidR="005C7770">
              <w:instrText>PAGEREF _Toc256754091 \h</w:instrText>
            </w:r>
            <w:r w:rsidR="005C7770">
              <w:fldChar w:fldCharType="separate"/>
            </w:r>
            <w:r w:rsidR="3941B942" w:rsidRPr="3941B942">
              <w:rPr>
                <w:rStyle w:val="Hyperlink"/>
              </w:rPr>
              <w:t>11</w:t>
            </w:r>
            <w:r w:rsidR="005C7770">
              <w:fldChar w:fldCharType="end"/>
            </w:r>
          </w:hyperlink>
        </w:p>
        <w:p w14:paraId="216BAB50" w14:textId="7817E00A" w:rsidR="005C7770" w:rsidRDefault="00181FC3" w:rsidP="3941B942">
          <w:pPr>
            <w:pStyle w:val="TOC1"/>
            <w:tabs>
              <w:tab w:val="right" w:leader="dot" w:pos="9360"/>
            </w:tabs>
            <w:rPr>
              <w:rStyle w:val="Hyperlink"/>
              <w:noProof/>
              <w:lang w:eastAsia="ja-JP"/>
            </w:rPr>
          </w:pPr>
          <w:hyperlink w:anchor="_Toc1172867228">
            <w:r w:rsidR="3941B942" w:rsidRPr="3941B942">
              <w:rPr>
                <w:rStyle w:val="Hyperlink"/>
              </w:rPr>
              <w:t>PART 5: Service</w:t>
            </w:r>
            <w:r w:rsidR="005C7770">
              <w:tab/>
            </w:r>
            <w:r w:rsidR="005C7770">
              <w:fldChar w:fldCharType="begin"/>
            </w:r>
            <w:r w:rsidR="005C7770">
              <w:instrText>PAGEREF _Toc1172867228 \h</w:instrText>
            </w:r>
            <w:r w:rsidR="005C7770">
              <w:fldChar w:fldCharType="separate"/>
            </w:r>
            <w:r w:rsidR="3941B942" w:rsidRPr="3941B942">
              <w:rPr>
                <w:rStyle w:val="Hyperlink"/>
              </w:rPr>
              <w:t>12</w:t>
            </w:r>
            <w:r w:rsidR="005C7770">
              <w:fldChar w:fldCharType="end"/>
            </w:r>
          </w:hyperlink>
        </w:p>
        <w:p w14:paraId="3A97D48F" w14:textId="6E1E28C3" w:rsidR="005C7770" w:rsidRDefault="00181FC3" w:rsidP="3941B942">
          <w:pPr>
            <w:pStyle w:val="TOC2"/>
            <w:tabs>
              <w:tab w:val="right" w:leader="dot" w:pos="9360"/>
            </w:tabs>
            <w:rPr>
              <w:rStyle w:val="Hyperlink"/>
              <w:noProof/>
              <w:lang w:eastAsia="ja-JP"/>
            </w:rPr>
          </w:pPr>
          <w:hyperlink w:anchor="_Toc1885023031">
            <w:r w:rsidR="3941B942" w:rsidRPr="3941B942">
              <w:rPr>
                <w:rStyle w:val="Hyperlink"/>
              </w:rPr>
              <w:t>5.A Promotion and Tenure Criteria: Service</w:t>
            </w:r>
            <w:r w:rsidR="005C7770">
              <w:tab/>
            </w:r>
            <w:r w:rsidR="005C7770">
              <w:fldChar w:fldCharType="begin"/>
            </w:r>
            <w:r w:rsidR="005C7770">
              <w:instrText>PAGEREF _Toc1885023031 \h</w:instrText>
            </w:r>
            <w:r w:rsidR="005C7770">
              <w:fldChar w:fldCharType="separate"/>
            </w:r>
            <w:r w:rsidR="3941B942" w:rsidRPr="3941B942">
              <w:rPr>
                <w:rStyle w:val="Hyperlink"/>
              </w:rPr>
              <w:t>12</w:t>
            </w:r>
            <w:r w:rsidR="005C7770">
              <w:fldChar w:fldCharType="end"/>
            </w:r>
          </w:hyperlink>
        </w:p>
        <w:p w14:paraId="6DC24A23" w14:textId="6673C72B" w:rsidR="005C7770" w:rsidRDefault="00181FC3" w:rsidP="3941B942">
          <w:pPr>
            <w:pStyle w:val="TOC2"/>
            <w:tabs>
              <w:tab w:val="right" w:leader="dot" w:pos="9360"/>
            </w:tabs>
            <w:rPr>
              <w:rStyle w:val="Hyperlink"/>
              <w:noProof/>
              <w:lang w:eastAsia="ja-JP"/>
            </w:rPr>
          </w:pPr>
          <w:hyperlink w:anchor="_Toc1800216434">
            <w:r w:rsidR="3941B942" w:rsidRPr="3941B942">
              <w:rPr>
                <w:rStyle w:val="Hyperlink"/>
              </w:rPr>
              <w:t>5.B Evidence of Service</w:t>
            </w:r>
            <w:r w:rsidR="005C7770">
              <w:tab/>
            </w:r>
            <w:r w:rsidR="005C7770">
              <w:fldChar w:fldCharType="begin"/>
            </w:r>
            <w:r w:rsidR="005C7770">
              <w:instrText>PAGEREF _Toc1800216434 \h</w:instrText>
            </w:r>
            <w:r w:rsidR="005C7770">
              <w:fldChar w:fldCharType="separate"/>
            </w:r>
            <w:r w:rsidR="3941B942" w:rsidRPr="3941B942">
              <w:rPr>
                <w:rStyle w:val="Hyperlink"/>
              </w:rPr>
              <w:t>13</w:t>
            </w:r>
            <w:r w:rsidR="005C7770">
              <w:fldChar w:fldCharType="end"/>
            </w:r>
          </w:hyperlink>
        </w:p>
        <w:p w14:paraId="51A318E6" w14:textId="639E4EEF" w:rsidR="005C7770" w:rsidRDefault="00181FC3" w:rsidP="3941B942">
          <w:pPr>
            <w:pStyle w:val="TOC1"/>
            <w:tabs>
              <w:tab w:val="right" w:leader="dot" w:pos="9360"/>
            </w:tabs>
            <w:rPr>
              <w:rStyle w:val="Hyperlink"/>
              <w:noProof/>
              <w:lang w:eastAsia="ja-JP"/>
            </w:rPr>
          </w:pPr>
          <w:hyperlink w:anchor="_Toc534134323">
            <w:r w:rsidR="3941B942" w:rsidRPr="3941B942">
              <w:rPr>
                <w:rStyle w:val="Hyperlink"/>
              </w:rPr>
              <w:t>PART 6: Appendix with Links</w:t>
            </w:r>
            <w:r w:rsidR="005C7770">
              <w:tab/>
            </w:r>
            <w:r w:rsidR="005C7770">
              <w:fldChar w:fldCharType="begin"/>
            </w:r>
            <w:r w:rsidR="005C7770">
              <w:instrText>PAGEREF _Toc534134323 \h</w:instrText>
            </w:r>
            <w:r w:rsidR="005C7770">
              <w:fldChar w:fldCharType="separate"/>
            </w:r>
            <w:r w:rsidR="3941B942" w:rsidRPr="3941B942">
              <w:rPr>
                <w:rStyle w:val="Hyperlink"/>
              </w:rPr>
              <w:t>15</w:t>
            </w:r>
            <w:r w:rsidR="005C7770">
              <w:fldChar w:fldCharType="end"/>
            </w:r>
          </w:hyperlink>
          <w:r w:rsidR="005C7770">
            <w:fldChar w:fldCharType="end"/>
          </w:r>
        </w:p>
      </w:sdtContent>
    </w:sdt>
    <w:p w14:paraId="247843F0" w14:textId="78FF16E1" w:rsidR="2FC4D52D" w:rsidRDefault="2FC4D52D" w:rsidP="2FC4D52D">
      <w:pPr>
        <w:pStyle w:val="TOC1"/>
        <w:tabs>
          <w:tab w:val="right" w:leader="dot" w:pos="9360"/>
        </w:tabs>
        <w:rPr>
          <w:rStyle w:val="Hyperlink"/>
        </w:rPr>
      </w:pPr>
    </w:p>
    <w:p w14:paraId="059E307E" w14:textId="57F7B3B1" w:rsidR="6B3E84FA" w:rsidRDefault="6B3E84FA" w:rsidP="1CB7E602">
      <w:pPr>
        <w:pStyle w:val="TOC1"/>
        <w:tabs>
          <w:tab w:val="right" w:leader="dot" w:pos="9360"/>
        </w:tabs>
        <w:rPr>
          <w:rStyle w:val="Hyperlink"/>
        </w:rPr>
      </w:pPr>
    </w:p>
    <w:p w14:paraId="16BE9229" w14:textId="22685303" w:rsidR="6B3E84FA" w:rsidRDefault="6B3E84FA" w:rsidP="1CB7E602"/>
    <w:p w14:paraId="263587A6" w14:textId="30CC0825" w:rsidR="6B3E84FA" w:rsidRDefault="61A55003" w:rsidP="2FC4D52D">
      <w:pPr>
        <w:pStyle w:val="Heading1"/>
        <w:rPr>
          <w:b/>
          <w:bCs/>
        </w:rPr>
      </w:pPr>
      <w:bookmarkStart w:id="0" w:name="_Toc484816946"/>
      <w:r>
        <w:t xml:space="preserve">PART </w:t>
      </w:r>
      <w:r w:rsidR="4D807BCE">
        <w:t>1</w:t>
      </w:r>
      <w:r>
        <w:t>: Department Context</w:t>
      </w:r>
      <w:bookmarkEnd w:id="0"/>
    </w:p>
    <w:p w14:paraId="5B18744E" w14:textId="48B2FCC2" w:rsidR="6B3E84FA" w:rsidRDefault="61A55003" w:rsidP="2AF949AA">
      <w:pPr>
        <w:jc w:val="center"/>
        <w:rPr>
          <w:rFonts w:eastAsiaTheme="minorEastAsia"/>
          <w:color w:val="000000" w:themeColor="text1"/>
          <w:sz w:val="24"/>
          <w:szCs w:val="24"/>
          <w:u w:val="single"/>
        </w:rPr>
      </w:pPr>
      <w:r w:rsidRPr="2AF949AA">
        <w:rPr>
          <w:rFonts w:eastAsiaTheme="minorEastAsia"/>
          <w:color w:val="000000" w:themeColor="text1"/>
          <w:sz w:val="24"/>
          <w:szCs w:val="24"/>
          <w:u w:val="single"/>
        </w:rPr>
        <w:t>Linfield University Education Department Mission Statement</w:t>
      </w:r>
    </w:p>
    <w:p w14:paraId="32798F34" w14:textId="09974538" w:rsidR="6B3E84FA" w:rsidRDefault="61A55003" w:rsidP="1CB7E602">
      <w:pPr>
        <w:ind w:firstLine="720"/>
        <w:rPr>
          <w:rFonts w:eastAsiaTheme="minorEastAsia"/>
          <w:i/>
          <w:iCs/>
          <w:color w:val="000000" w:themeColor="text1"/>
          <w:sz w:val="24"/>
          <w:szCs w:val="24"/>
        </w:rPr>
      </w:pPr>
      <w:r w:rsidRPr="2AF949AA">
        <w:rPr>
          <w:rFonts w:eastAsiaTheme="minorEastAsia"/>
          <w:i/>
          <w:iCs/>
          <w:color w:val="000000" w:themeColor="text1"/>
          <w:sz w:val="24"/>
          <w:szCs w:val="24"/>
        </w:rPr>
        <w:t>Linfield’s teacher education program prepares students within the context of a strong liberal arts tradition that promotes a culture of engagement and excellence; integrated teaching and learning; global and multicultural understanding; and experiential learning through ongoing field experiences. Linfield’s education faculty prepare teacher education candidates who understand and apply multiple theories of learning and content knowledge; develop dispositions and strategies for advocating for all learners; and reflect and act on their own behaviors and on the teaching and learning process. Candidates are prepared for service in educational settings within Oregon, across the nation, and throughout the world.</w:t>
      </w:r>
    </w:p>
    <w:p w14:paraId="5D5B668A" w14:textId="3112F1D0" w:rsidR="6B3E84FA" w:rsidRDefault="6B3E84FA" w:rsidP="2AF949AA">
      <w:pPr>
        <w:ind w:firstLine="720"/>
        <w:rPr>
          <w:rFonts w:eastAsiaTheme="minorEastAsia"/>
          <w:i/>
          <w:iCs/>
          <w:color w:val="000000" w:themeColor="text1"/>
          <w:sz w:val="24"/>
          <w:szCs w:val="24"/>
        </w:rPr>
      </w:pPr>
    </w:p>
    <w:p w14:paraId="773B7CAF" w14:textId="223430AD" w:rsidR="6B3E84FA" w:rsidRDefault="128F31FC" w:rsidP="2AF949AA">
      <w:pPr>
        <w:jc w:val="center"/>
        <w:rPr>
          <w:rFonts w:ascii="Arial Nova" w:eastAsia="Arial Nova" w:hAnsi="Arial Nova" w:cs="Arial Nova"/>
          <w:color w:val="000000" w:themeColor="text1"/>
        </w:rPr>
      </w:pPr>
      <w:r w:rsidRPr="2AF949AA">
        <w:rPr>
          <w:rFonts w:ascii="Arial Nova" w:eastAsia="Arial Nova" w:hAnsi="Arial Nova" w:cs="Arial Nova"/>
          <w:color w:val="000000" w:themeColor="text1"/>
          <w:u w:val="single"/>
        </w:rPr>
        <w:t>Linfield University Education Department Belief Statement</w:t>
      </w:r>
    </w:p>
    <w:p w14:paraId="0923FF43" w14:textId="1FF267CE" w:rsidR="6B3E84FA" w:rsidRDefault="128F31FC" w:rsidP="2AF949AA">
      <w:pPr>
        <w:rPr>
          <w:rFonts w:eastAsiaTheme="minorEastAsia"/>
          <w:i/>
          <w:iCs/>
          <w:color w:val="000000" w:themeColor="text1"/>
          <w:sz w:val="24"/>
          <w:szCs w:val="24"/>
        </w:rPr>
      </w:pPr>
      <w:r w:rsidRPr="2AF949AA">
        <w:rPr>
          <w:rFonts w:eastAsiaTheme="minorEastAsia"/>
          <w:i/>
          <w:iCs/>
          <w:color w:val="000000" w:themeColor="text1"/>
          <w:sz w:val="24"/>
          <w:szCs w:val="24"/>
        </w:rPr>
        <w:t>We believe that a diverse and vibrant Linfield contributes to academic excellence and critical thinking.</w:t>
      </w:r>
    </w:p>
    <w:p w14:paraId="2D0628FA" w14:textId="123DF08C" w:rsidR="6B3E84FA" w:rsidRDefault="128F31FC" w:rsidP="2AF949AA">
      <w:pPr>
        <w:rPr>
          <w:rFonts w:eastAsiaTheme="minorEastAsia"/>
          <w:i/>
          <w:iCs/>
          <w:color w:val="000000" w:themeColor="text1"/>
          <w:sz w:val="24"/>
          <w:szCs w:val="24"/>
        </w:rPr>
      </w:pPr>
      <w:r w:rsidRPr="2AF949AA">
        <w:rPr>
          <w:rFonts w:eastAsiaTheme="minorEastAsia"/>
          <w:i/>
          <w:iCs/>
          <w:color w:val="000000" w:themeColor="text1"/>
          <w:sz w:val="24"/>
          <w:szCs w:val="24"/>
        </w:rPr>
        <w:t>We believe that systemic barriers disproportionately hurt the most marginalized people in society including people of color, people from working class backgrounds, women and people who identify as LGBTQIA+.</w:t>
      </w:r>
    </w:p>
    <w:p w14:paraId="57F7C04A" w14:textId="0568D65C" w:rsidR="6B3E84FA" w:rsidRDefault="128F31FC" w:rsidP="2AF949AA">
      <w:pPr>
        <w:rPr>
          <w:rFonts w:eastAsiaTheme="minorEastAsia"/>
          <w:i/>
          <w:iCs/>
          <w:color w:val="000000" w:themeColor="text1"/>
          <w:sz w:val="24"/>
          <w:szCs w:val="24"/>
        </w:rPr>
      </w:pPr>
      <w:r w:rsidRPr="2AF949AA">
        <w:rPr>
          <w:rFonts w:eastAsiaTheme="minorEastAsia"/>
          <w:i/>
          <w:iCs/>
          <w:color w:val="000000" w:themeColor="text1"/>
          <w:sz w:val="24"/>
          <w:szCs w:val="24"/>
        </w:rPr>
        <w:t>We believe that these communities must be centered in order to break down those barriers in education.</w:t>
      </w:r>
    </w:p>
    <w:p w14:paraId="4A71901F" w14:textId="434A00AD" w:rsidR="6B3E84FA" w:rsidRDefault="6B3E84FA" w:rsidP="2AF949AA">
      <w:pPr>
        <w:rPr>
          <w:rFonts w:asciiTheme="majorHAnsi" w:eastAsiaTheme="majorEastAsia" w:hAnsiTheme="majorHAnsi" w:cstheme="majorBidi"/>
          <w:i/>
          <w:iCs/>
          <w:color w:val="000000" w:themeColor="text1"/>
        </w:rPr>
      </w:pPr>
    </w:p>
    <w:p w14:paraId="7DFA640E" w14:textId="3D4C53E9" w:rsidR="6B3E84FA" w:rsidRDefault="61A55003" w:rsidP="1CB7E602">
      <w:pPr>
        <w:rPr>
          <w:rFonts w:eastAsiaTheme="minorEastAsia"/>
          <w:color w:val="000000" w:themeColor="text1"/>
          <w:sz w:val="24"/>
          <w:szCs w:val="24"/>
        </w:rPr>
      </w:pPr>
      <w:r w:rsidRPr="1CB7E602">
        <w:rPr>
          <w:rFonts w:eastAsiaTheme="minorEastAsia"/>
          <w:color w:val="000000" w:themeColor="text1"/>
          <w:sz w:val="24"/>
          <w:szCs w:val="24"/>
        </w:rPr>
        <w:t>It is important to understand that the work of a faculty member in the Education Department is governed by two main elements which are in addition to the traditional guiding elements of a university faculty member’s responsibilities. These unique additional elements are:</w:t>
      </w:r>
    </w:p>
    <w:p w14:paraId="284A9367" w14:textId="16806175" w:rsidR="6B3E84FA" w:rsidRDefault="61A55003" w:rsidP="00181FC3">
      <w:pPr>
        <w:pStyle w:val="ListParagraph"/>
        <w:numPr>
          <w:ilvl w:val="0"/>
          <w:numId w:val="4"/>
        </w:numPr>
        <w:rPr>
          <w:rFonts w:eastAsiaTheme="minorEastAsia"/>
          <w:color w:val="000000" w:themeColor="text1"/>
          <w:sz w:val="24"/>
          <w:szCs w:val="24"/>
        </w:rPr>
      </w:pPr>
      <w:r w:rsidRPr="1CB7E602">
        <w:rPr>
          <w:rFonts w:eastAsiaTheme="minorEastAsia"/>
          <w:color w:val="000000" w:themeColor="text1"/>
          <w:sz w:val="24"/>
          <w:szCs w:val="24"/>
        </w:rPr>
        <w:t>State and national program accreditation requirements as well as state licensure requirements</w:t>
      </w:r>
    </w:p>
    <w:p w14:paraId="442C9AD8" w14:textId="00E7CE53" w:rsidR="6B3E84FA" w:rsidRDefault="41A8F061" w:rsidP="7D46F7F5">
      <w:pPr>
        <w:rPr>
          <w:rFonts w:eastAsiaTheme="minorEastAsia"/>
          <w:color w:val="000000" w:themeColor="text1"/>
          <w:sz w:val="24"/>
          <w:szCs w:val="24"/>
        </w:rPr>
      </w:pPr>
      <w:r w:rsidRPr="3941B942">
        <w:rPr>
          <w:rFonts w:eastAsiaTheme="minorEastAsia"/>
          <w:color w:val="000000" w:themeColor="text1"/>
          <w:sz w:val="24"/>
          <w:szCs w:val="24"/>
        </w:rPr>
        <w:t xml:space="preserve">The work of </w:t>
      </w:r>
      <w:r w:rsidR="0A06BF2B" w:rsidRPr="3941B942">
        <w:rPr>
          <w:rFonts w:eastAsiaTheme="minorEastAsia"/>
          <w:color w:val="000000" w:themeColor="text1"/>
          <w:sz w:val="24"/>
          <w:szCs w:val="24"/>
        </w:rPr>
        <w:t>the Education</w:t>
      </w:r>
      <w:r w:rsidRPr="3941B942">
        <w:rPr>
          <w:rFonts w:eastAsiaTheme="minorEastAsia"/>
          <w:color w:val="000000" w:themeColor="text1"/>
          <w:sz w:val="24"/>
          <w:szCs w:val="24"/>
        </w:rPr>
        <w:t xml:space="preserve"> faculty is monitored by, and in many ways dictated by, bodies external to Linfield University. With respect to accreditation and state licensure requirements, Education faculty must always be mindful of addressing standards and aware of </w:t>
      </w:r>
      <w:r w:rsidR="61056381" w:rsidRPr="3941B942">
        <w:rPr>
          <w:rFonts w:eastAsiaTheme="minorEastAsia"/>
          <w:color w:val="000000" w:themeColor="text1"/>
          <w:sz w:val="24"/>
          <w:szCs w:val="24"/>
        </w:rPr>
        <w:t xml:space="preserve">ongoing </w:t>
      </w:r>
      <w:r w:rsidRPr="3941B942">
        <w:rPr>
          <w:rFonts w:eastAsiaTheme="minorEastAsia"/>
          <w:color w:val="000000" w:themeColor="text1"/>
          <w:sz w:val="24"/>
          <w:szCs w:val="24"/>
        </w:rPr>
        <w:t>changes</w:t>
      </w:r>
      <w:r w:rsidR="6E0676AD" w:rsidRPr="3941B942">
        <w:rPr>
          <w:rFonts w:eastAsiaTheme="minorEastAsia"/>
          <w:color w:val="000000" w:themeColor="text1"/>
          <w:sz w:val="24"/>
          <w:szCs w:val="24"/>
        </w:rPr>
        <w:t xml:space="preserve"> to licensure and accreditation requirements</w:t>
      </w:r>
      <w:r w:rsidRPr="3941B942">
        <w:rPr>
          <w:rFonts w:eastAsiaTheme="minorEastAsia"/>
          <w:color w:val="000000" w:themeColor="text1"/>
          <w:sz w:val="24"/>
          <w:szCs w:val="24"/>
        </w:rPr>
        <w:t xml:space="preserve">. </w:t>
      </w:r>
      <w:r w:rsidR="0F432104" w:rsidRPr="3941B942">
        <w:rPr>
          <w:rFonts w:eastAsiaTheme="minorEastAsia"/>
          <w:color w:val="000000" w:themeColor="text1"/>
          <w:sz w:val="24"/>
          <w:szCs w:val="24"/>
        </w:rPr>
        <w:t xml:space="preserve">As part of our accreditation, Education faculty members must participate in continuous program improvement and assessment cycles through ongoing data collection and report writing. </w:t>
      </w:r>
      <w:r w:rsidR="1452FD0E" w:rsidRPr="3941B942">
        <w:rPr>
          <w:rFonts w:eastAsiaTheme="minorEastAsia"/>
          <w:color w:val="000000" w:themeColor="text1"/>
          <w:sz w:val="24"/>
          <w:szCs w:val="24"/>
        </w:rPr>
        <w:t xml:space="preserve">In support of the University’s most recent </w:t>
      </w:r>
      <w:hyperlink r:id="rId8">
        <w:r w:rsidR="1452FD0E" w:rsidRPr="3941B942">
          <w:rPr>
            <w:rStyle w:val="Hyperlink"/>
            <w:rFonts w:eastAsiaTheme="minorEastAsia"/>
            <w:sz w:val="24"/>
            <w:szCs w:val="24"/>
          </w:rPr>
          <w:t>strategic plan</w:t>
        </w:r>
      </w:hyperlink>
      <w:r w:rsidR="1452FD0E" w:rsidRPr="3941B942">
        <w:rPr>
          <w:rFonts w:eastAsiaTheme="minorEastAsia"/>
          <w:color w:val="000000" w:themeColor="text1"/>
          <w:sz w:val="24"/>
          <w:szCs w:val="24"/>
        </w:rPr>
        <w:t xml:space="preserve"> (2022-2027), the Education Department is dedicated to opening </w:t>
      </w:r>
      <w:r w:rsidR="361FC845" w:rsidRPr="3941B942">
        <w:rPr>
          <w:rFonts w:eastAsiaTheme="minorEastAsia"/>
          <w:color w:val="000000" w:themeColor="text1"/>
          <w:sz w:val="24"/>
          <w:szCs w:val="24"/>
        </w:rPr>
        <w:t xml:space="preserve">nontraditional </w:t>
      </w:r>
      <w:r w:rsidR="1452FD0E" w:rsidRPr="3941B942">
        <w:rPr>
          <w:rFonts w:eastAsiaTheme="minorEastAsia"/>
          <w:color w:val="000000" w:themeColor="text1"/>
          <w:sz w:val="24"/>
          <w:szCs w:val="24"/>
        </w:rPr>
        <w:t xml:space="preserve">pathways </w:t>
      </w:r>
      <w:r w:rsidR="082F0288" w:rsidRPr="3941B942">
        <w:rPr>
          <w:rFonts w:eastAsiaTheme="minorEastAsia"/>
          <w:color w:val="000000" w:themeColor="text1"/>
          <w:sz w:val="24"/>
          <w:szCs w:val="24"/>
        </w:rPr>
        <w:t xml:space="preserve">and </w:t>
      </w:r>
      <w:r w:rsidR="7BEEE58D" w:rsidRPr="3941B942">
        <w:rPr>
          <w:rFonts w:eastAsiaTheme="minorEastAsia"/>
          <w:color w:val="000000" w:themeColor="text1"/>
          <w:sz w:val="24"/>
          <w:szCs w:val="24"/>
        </w:rPr>
        <w:t xml:space="preserve">creating </w:t>
      </w:r>
      <w:r w:rsidR="082F0288" w:rsidRPr="3941B942">
        <w:rPr>
          <w:rFonts w:eastAsiaTheme="minorEastAsia"/>
          <w:color w:val="000000" w:themeColor="text1"/>
          <w:sz w:val="24"/>
          <w:szCs w:val="24"/>
        </w:rPr>
        <w:t xml:space="preserve">programs </w:t>
      </w:r>
      <w:r w:rsidR="037F65D8" w:rsidRPr="3941B942">
        <w:rPr>
          <w:rFonts w:eastAsiaTheme="minorEastAsia"/>
          <w:color w:val="000000" w:themeColor="text1"/>
          <w:sz w:val="24"/>
          <w:szCs w:val="24"/>
        </w:rPr>
        <w:t xml:space="preserve">to </w:t>
      </w:r>
      <w:r w:rsidR="51A2697A" w:rsidRPr="3941B942">
        <w:rPr>
          <w:rFonts w:eastAsiaTheme="minorEastAsia"/>
          <w:color w:val="000000" w:themeColor="text1"/>
          <w:sz w:val="24"/>
          <w:szCs w:val="24"/>
        </w:rPr>
        <w:t>open</w:t>
      </w:r>
      <w:r w:rsidR="037F65D8" w:rsidRPr="3941B942">
        <w:rPr>
          <w:rFonts w:eastAsiaTheme="minorEastAsia"/>
          <w:color w:val="000000" w:themeColor="text1"/>
          <w:sz w:val="24"/>
          <w:szCs w:val="24"/>
        </w:rPr>
        <w:t xml:space="preserve"> new pipeline</w:t>
      </w:r>
      <w:r w:rsidR="542E1584" w:rsidRPr="3941B942">
        <w:rPr>
          <w:rFonts w:eastAsiaTheme="minorEastAsia"/>
          <w:color w:val="000000" w:themeColor="text1"/>
          <w:sz w:val="24"/>
          <w:szCs w:val="24"/>
        </w:rPr>
        <w:t>s</w:t>
      </w:r>
      <w:r w:rsidR="037F65D8" w:rsidRPr="3941B942">
        <w:rPr>
          <w:rFonts w:eastAsiaTheme="minorEastAsia"/>
          <w:color w:val="000000" w:themeColor="text1"/>
          <w:sz w:val="24"/>
          <w:szCs w:val="24"/>
        </w:rPr>
        <w:t xml:space="preserve"> towards teaching. This involves increasing the number of </w:t>
      </w:r>
      <w:r w:rsidR="7F8BFA1B" w:rsidRPr="3941B942">
        <w:rPr>
          <w:rFonts w:eastAsiaTheme="minorEastAsia"/>
          <w:color w:val="000000" w:themeColor="text1"/>
          <w:sz w:val="24"/>
          <w:szCs w:val="24"/>
        </w:rPr>
        <w:t xml:space="preserve">state-approved </w:t>
      </w:r>
      <w:hyperlink r:id="rId9">
        <w:r w:rsidR="06C5CD6E" w:rsidRPr="3941B942">
          <w:rPr>
            <w:rStyle w:val="Hyperlink"/>
            <w:rFonts w:eastAsiaTheme="minorEastAsia"/>
            <w:sz w:val="24"/>
            <w:szCs w:val="24"/>
          </w:rPr>
          <w:t>endorsements</w:t>
        </w:r>
      </w:hyperlink>
      <w:r w:rsidR="06C5CD6E" w:rsidRPr="3941B942">
        <w:rPr>
          <w:rFonts w:eastAsiaTheme="minorEastAsia"/>
          <w:color w:val="000000" w:themeColor="text1"/>
          <w:sz w:val="24"/>
          <w:szCs w:val="24"/>
        </w:rPr>
        <w:t xml:space="preserve"> (additional </w:t>
      </w:r>
      <w:r w:rsidR="47D67309" w:rsidRPr="3941B942">
        <w:rPr>
          <w:rFonts w:eastAsiaTheme="minorEastAsia"/>
          <w:color w:val="000000" w:themeColor="text1"/>
          <w:sz w:val="24"/>
          <w:szCs w:val="24"/>
        </w:rPr>
        <w:t xml:space="preserve">programs of </w:t>
      </w:r>
      <w:r w:rsidR="549073A0" w:rsidRPr="3941B942">
        <w:rPr>
          <w:rFonts w:eastAsiaTheme="minorEastAsia"/>
          <w:color w:val="000000" w:themeColor="text1"/>
          <w:sz w:val="24"/>
          <w:szCs w:val="24"/>
        </w:rPr>
        <w:t>specialization</w:t>
      </w:r>
      <w:r w:rsidR="47D67309" w:rsidRPr="3941B942">
        <w:rPr>
          <w:rFonts w:eastAsiaTheme="minorEastAsia"/>
          <w:color w:val="000000" w:themeColor="text1"/>
          <w:sz w:val="24"/>
          <w:szCs w:val="24"/>
        </w:rPr>
        <w:t xml:space="preserve"> that are added on</w:t>
      </w:r>
      <w:r w:rsidR="03295C38" w:rsidRPr="3941B942">
        <w:rPr>
          <w:rFonts w:eastAsiaTheme="minorEastAsia"/>
          <w:color w:val="000000" w:themeColor="text1"/>
          <w:sz w:val="24"/>
          <w:szCs w:val="24"/>
        </w:rPr>
        <w:t xml:space="preserve"> </w:t>
      </w:r>
      <w:r w:rsidR="47D67309" w:rsidRPr="3941B942">
        <w:rPr>
          <w:rFonts w:eastAsiaTheme="minorEastAsia"/>
          <w:color w:val="000000" w:themeColor="text1"/>
          <w:sz w:val="24"/>
          <w:szCs w:val="24"/>
        </w:rPr>
        <w:t>to teaching licenses</w:t>
      </w:r>
      <w:r w:rsidR="06C5CD6E" w:rsidRPr="3941B942">
        <w:rPr>
          <w:rFonts w:eastAsiaTheme="minorEastAsia"/>
          <w:color w:val="000000" w:themeColor="text1"/>
          <w:sz w:val="24"/>
          <w:szCs w:val="24"/>
        </w:rPr>
        <w:t xml:space="preserve">) </w:t>
      </w:r>
      <w:r w:rsidR="15C9FC53" w:rsidRPr="3941B942">
        <w:rPr>
          <w:rFonts w:eastAsiaTheme="minorEastAsia"/>
          <w:color w:val="000000" w:themeColor="text1"/>
          <w:sz w:val="24"/>
          <w:szCs w:val="24"/>
        </w:rPr>
        <w:t>available</w:t>
      </w:r>
      <w:r w:rsidR="06C5CD6E" w:rsidRPr="3941B942">
        <w:rPr>
          <w:rFonts w:eastAsiaTheme="minorEastAsia"/>
          <w:color w:val="000000" w:themeColor="text1"/>
          <w:sz w:val="24"/>
          <w:szCs w:val="24"/>
        </w:rPr>
        <w:t xml:space="preserve"> </w:t>
      </w:r>
      <w:r w:rsidR="6288C5AB" w:rsidRPr="3941B942">
        <w:rPr>
          <w:rFonts w:eastAsiaTheme="minorEastAsia"/>
          <w:color w:val="000000" w:themeColor="text1"/>
          <w:sz w:val="24"/>
          <w:szCs w:val="24"/>
        </w:rPr>
        <w:t>for Linfield students</w:t>
      </w:r>
      <w:r w:rsidR="06C5CD6E" w:rsidRPr="3941B942">
        <w:rPr>
          <w:rFonts w:eastAsiaTheme="minorEastAsia"/>
          <w:color w:val="000000" w:themeColor="text1"/>
          <w:sz w:val="24"/>
          <w:szCs w:val="24"/>
        </w:rPr>
        <w:t xml:space="preserve">, including </w:t>
      </w:r>
      <w:r w:rsidR="6A52E58B" w:rsidRPr="3941B942">
        <w:rPr>
          <w:rFonts w:eastAsiaTheme="minorEastAsia"/>
          <w:color w:val="000000" w:themeColor="text1"/>
          <w:sz w:val="24"/>
          <w:szCs w:val="24"/>
        </w:rPr>
        <w:t xml:space="preserve">endorsements in </w:t>
      </w:r>
      <w:r w:rsidR="06C5CD6E" w:rsidRPr="3941B942">
        <w:rPr>
          <w:rFonts w:eastAsiaTheme="minorEastAsia"/>
          <w:color w:val="000000" w:themeColor="text1"/>
          <w:sz w:val="24"/>
          <w:szCs w:val="24"/>
        </w:rPr>
        <w:t>Special Education and E</w:t>
      </w:r>
      <w:r w:rsidR="026DB33B" w:rsidRPr="3941B942">
        <w:rPr>
          <w:rFonts w:eastAsiaTheme="minorEastAsia"/>
          <w:color w:val="000000" w:themeColor="text1"/>
          <w:sz w:val="24"/>
          <w:szCs w:val="24"/>
        </w:rPr>
        <w:t>nglish to Speakers of Other Languages (ESOL)</w:t>
      </w:r>
      <w:r w:rsidR="06C5CD6E" w:rsidRPr="3941B942">
        <w:rPr>
          <w:rFonts w:eastAsiaTheme="minorEastAsia"/>
          <w:color w:val="000000" w:themeColor="text1"/>
          <w:sz w:val="24"/>
          <w:szCs w:val="24"/>
        </w:rPr>
        <w:t xml:space="preserve">. Additional </w:t>
      </w:r>
      <w:r w:rsidR="533A3D6B" w:rsidRPr="3941B942">
        <w:rPr>
          <w:rFonts w:eastAsiaTheme="minorEastAsia"/>
          <w:color w:val="000000" w:themeColor="text1"/>
          <w:sz w:val="24"/>
          <w:szCs w:val="24"/>
        </w:rPr>
        <w:t>programmatic</w:t>
      </w:r>
      <w:r w:rsidR="06C5CD6E" w:rsidRPr="3941B942">
        <w:rPr>
          <w:rFonts w:eastAsiaTheme="minorEastAsia"/>
          <w:color w:val="000000" w:themeColor="text1"/>
          <w:sz w:val="24"/>
          <w:szCs w:val="24"/>
        </w:rPr>
        <w:t xml:space="preserve"> offerings </w:t>
      </w:r>
      <w:r w:rsidRPr="3941B942">
        <w:rPr>
          <w:rFonts w:eastAsiaTheme="minorEastAsia"/>
          <w:color w:val="000000" w:themeColor="text1"/>
          <w:sz w:val="24"/>
          <w:szCs w:val="24"/>
        </w:rPr>
        <w:t xml:space="preserve">impact everything from course content to advising and required departmental roles and forms. </w:t>
      </w:r>
    </w:p>
    <w:p w14:paraId="27FA7776" w14:textId="7648B5E4" w:rsidR="6B3E84FA" w:rsidRDefault="61A55003" w:rsidP="00181FC3">
      <w:pPr>
        <w:pStyle w:val="ListParagraph"/>
        <w:numPr>
          <w:ilvl w:val="0"/>
          <w:numId w:val="4"/>
        </w:numPr>
        <w:rPr>
          <w:rFonts w:eastAsiaTheme="minorEastAsia"/>
          <w:color w:val="000000" w:themeColor="text1"/>
          <w:sz w:val="24"/>
          <w:szCs w:val="24"/>
        </w:rPr>
      </w:pPr>
      <w:r w:rsidRPr="1CB7E602">
        <w:rPr>
          <w:rFonts w:eastAsiaTheme="minorEastAsia"/>
          <w:color w:val="000000" w:themeColor="text1"/>
          <w:sz w:val="24"/>
          <w:szCs w:val="24"/>
        </w:rPr>
        <w:t>Relationships with partner schools and school districts</w:t>
      </w:r>
    </w:p>
    <w:p w14:paraId="5F5B2032" w14:textId="10797FFF" w:rsidR="6B3E84FA" w:rsidRDefault="41A8F061" w:rsidP="6B29013E">
      <w:pPr>
        <w:rPr>
          <w:rFonts w:eastAsiaTheme="minorEastAsia"/>
          <w:color w:val="000000" w:themeColor="text1"/>
          <w:sz w:val="24"/>
          <w:szCs w:val="24"/>
        </w:rPr>
      </w:pPr>
      <w:r w:rsidRPr="666A0591">
        <w:rPr>
          <w:rFonts w:eastAsiaTheme="minorEastAsia"/>
          <w:color w:val="000000" w:themeColor="text1"/>
          <w:sz w:val="24"/>
          <w:szCs w:val="24"/>
        </w:rPr>
        <w:t>Beginning in their first E</w:t>
      </w:r>
      <w:r w:rsidR="1C8F43DB" w:rsidRPr="666A0591">
        <w:rPr>
          <w:rFonts w:eastAsiaTheme="minorEastAsia"/>
          <w:color w:val="000000" w:themeColor="text1"/>
          <w:sz w:val="24"/>
          <w:szCs w:val="24"/>
        </w:rPr>
        <w:t>ducation</w:t>
      </w:r>
      <w:r w:rsidRPr="666A0591">
        <w:rPr>
          <w:rFonts w:eastAsiaTheme="minorEastAsia"/>
          <w:color w:val="000000" w:themeColor="text1"/>
          <w:sz w:val="24"/>
          <w:szCs w:val="24"/>
        </w:rPr>
        <w:t xml:space="preserve"> class, Linfield students are placed in local schools for classroom aiding experiences; by the spring of their senior year, Linfield students are student</w:t>
      </w:r>
      <w:r w:rsidR="6A8917CE" w:rsidRPr="666A0591">
        <w:rPr>
          <w:rFonts w:eastAsiaTheme="minorEastAsia"/>
          <w:color w:val="000000" w:themeColor="text1"/>
          <w:sz w:val="24"/>
          <w:szCs w:val="24"/>
        </w:rPr>
        <w:t>-</w:t>
      </w:r>
      <w:r w:rsidRPr="666A0591">
        <w:rPr>
          <w:rFonts w:eastAsiaTheme="minorEastAsia"/>
          <w:color w:val="000000" w:themeColor="text1"/>
          <w:sz w:val="24"/>
          <w:szCs w:val="24"/>
        </w:rPr>
        <w:t xml:space="preserve">teaching full time in a local classroom. </w:t>
      </w:r>
      <w:r w:rsidR="2CE193EA" w:rsidRPr="666A0591">
        <w:rPr>
          <w:rFonts w:eastAsiaTheme="minorEastAsia"/>
          <w:color w:val="000000" w:themeColor="text1"/>
          <w:sz w:val="24"/>
          <w:szCs w:val="24"/>
        </w:rPr>
        <w:t>Every classroom experience for our Linfield students involves ongoing and consistent monitoring and communication</w:t>
      </w:r>
      <w:r w:rsidR="1BA03AB7" w:rsidRPr="666A0591">
        <w:rPr>
          <w:rFonts w:eastAsiaTheme="minorEastAsia"/>
          <w:color w:val="000000" w:themeColor="text1"/>
          <w:sz w:val="24"/>
          <w:szCs w:val="24"/>
        </w:rPr>
        <w:t xml:space="preserve"> by faculty members</w:t>
      </w:r>
      <w:r w:rsidR="2CE193EA" w:rsidRPr="666A0591">
        <w:rPr>
          <w:rFonts w:eastAsiaTheme="minorEastAsia"/>
          <w:color w:val="000000" w:themeColor="text1"/>
          <w:sz w:val="24"/>
          <w:szCs w:val="24"/>
        </w:rPr>
        <w:t xml:space="preserve"> to support students </w:t>
      </w:r>
      <w:r w:rsidR="66FD7C0D" w:rsidRPr="666A0591">
        <w:rPr>
          <w:rFonts w:eastAsiaTheme="minorEastAsia"/>
          <w:color w:val="000000" w:themeColor="text1"/>
          <w:sz w:val="24"/>
          <w:szCs w:val="24"/>
        </w:rPr>
        <w:t xml:space="preserve">and </w:t>
      </w:r>
      <w:r w:rsidR="655CE887" w:rsidRPr="666A0591">
        <w:rPr>
          <w:rFonts w:eastAsiaTheme="minorEastAsia"/>
          <w:color w:val="000000" w:themeColor="text1"/>
          <w:sz w:val="24"/>
          <w:szCs w:val="24"/>
        </w:rPr>
        <w:t>to</w:t>
      </w:r>
      <w:r w:rsidRPr="666A0591">
        <w:rPr>
          <w:rFonts w:eastAsiaTheme="minorEastAsia"/>
          <w:color w:val="000000" w:themeColor="text1"/>
          <w:sz w:val="24"/>
          <w:szCs w:val="24"/>
        </w:rPr>
        <w:t xml:space="preserve"> maintain strong relationships with partner schools and school districts</w:t>
      </w:r>
      <w:r w:rsidR="4EF0380D" w:rsidRPr="666A0591">
        <w:rPr>
          <w:rFonts w:eastAsiaTheme="minorEastAsia"/>
          <w:color w:val="000000" w:themeColor="text1"/>
          <w:sz w:val="24"/>
          <w:szCs w:val="24"/>
        </w:rPr>
        <w:t>. This enables Lin</w:t>
      </w:r>
      <w:r w:rsidRPr="666A0591">
        <w:rPr>
          <w:rFonts w:eastAsiaTheme="minorEastAsia"/>
          <w:color w:val="000000" w:themeColor="text1"/>
          <w:sz w:val="24"/>
          <w:szCs w:val="24"/>
        </w:rPr>
        <w:t xml:space="preserve">field’s preservice teachers </w:t>
      </w:r>
      <w:r w:rsidR="0B422574" w:rsidRPr="666A0591">
        <w:rPr>
          <w:rFonts w:eastAsiaTheme="minorEastAsia"/>
          <w:color w:val="000000" w:themeColor="text1"/>
          <w:sz w:val="24"/>
          <w:szCs w:val="24"/>
        </w:rPr>
        <w:t>to</w:t>
      </w:r>
      <w:r w:rsidRPr="666A0591">
        <w:rPr>
          <w:rFonts w:eastAsiaTheme="minorEastAsia"/>
          <w:color w:val="000000" w:themeColor="text1"/>
          <w:sz w:val="24"/>
          <w:szCs w:val="24"/>
        </w:rPr>
        <w:t xml:space="preserve"> gain classroom experience with the best mentor teachers available</w:t>
      </w:r>
      <w:r w:rsidR="15B40607" w:rsidRPr="666A0591">
        <w:rPr>
          <w:rFonts w:eastAsiaTheme="minorEastAsia"/>
          <w:color w:val="000000" w:themeColor="text1"/>
          <w:sz w:val="24"/>
          <w:szCs w:val="24"/>
        </w:rPr>
        <w:t xml:space="preserve"> and allows Linfield faculty to participate in a mutual exchange of dialogue </w:t>
      </w:r>
      <w:r w:rsidR="15B40607" w:rsidRPr="666A0591">
        <w:rPr>
          <w:rFonts w:eastAsiaTheme="minorEastAsia"/>
          <w:color w:val="000000" w:themeColor="text1"/>
          <w:sz w:val="24"/>
          <w:szCs w:val="24"/>
        </w:rPr>
        <w:lastRenderedPageBreak/>
        <w:t>arou</w:t>
      </w:r>
      <w:r w:rsidR="389E8C57" w:rsidRPr="666A0591">
        <w:rPr>
          <w:rFonts w:eastAsiaTheme="minorEastAsia"/>
          <w:color w:val="000000" w:themeColor="text1"/>
          <w:sz w:val="24"/>
          <w:szCs w:val="24"/>
        </w:rPr>
        <w:t>nd best and current teaching practices</w:t>
      </w:r>
      <w:r w:rsidRPr="666A0591">
        <w:rPr>
          <w:rFonts w:eastAsiaTheme="minorEastAsia"/>
          <w:color w:val="000000" w:themeColor="text1"/>
          <w:sz w:val="24"/>
          <w:szCs w:val="24"/>
        </w:rPr>
        <w:t xml:space="preserve">. The importance of these relationships and collaborations with partner schools and districts cannot be </w:t>
      </w:r>
      <w:r w:rsidR="59F6D202" w:rsidRPr="666A0591">
        <w:rPr>
          <w:rFonts w:eastAsiaTheme="minorEastAsia"/>
          <w:color w:val="000000" w:themeColor="text1"/>
          <w:sz w:val="24"/>
          <w:szCs w:val="24"/>
        </w:rPr>
        <w:t>ov</w:t>
      </w:r>
      <w:r w:rsidRPr="666A0591">
        <w:rPr>
          <w:rFonts w:eastAsiaTheme="minorEastAsia"/>
          <w:color w:val="000000" w:themeColor="text1"/>
          <w:sz w:val="24"/>
          <w:szCs w:val="24"/>
        </w:rPr>
        <w:t>er</w:t>
      </w:r>
      <w:r w:rsidR="187696ED" w:rsidRPr="666A0591">
        <w:rPr>
          <w:rFonts w:eastAsiaTheme="minorEastAsia"/>
          <w:color w:val="000000" w:themeColor="text1"/>
          <w:sz w:val="24"/>
          <w:szCs w:val="24"/>
        </w:rPr>
        <w:t>stated</w:t>
      </w:r>
      <w:r w:rsidRPr="666A0591">
        <w:rPr>
          <w:rFonts w:eastAsiaTheme="minorEastAsia"/>
          <w:color w:val="000000" w:themeColor="text1"/>
          <w:sz w:val="24"/>
          <w:szCs w:val="24"/>
        </w:rPr>
        <w:t xml:space="preserve">. The Education Department’s consistent and longstanding positive reputation with our partners needs constant </w:t>
      </w:r>
      <w:r w:rsidR="73357CCB" w:rsidRPr="666A0591">
        <w:rPr>
          <w:rFonts w:eastAsiaTheme="minorEastAsia"/>
          <w:color w:val="000000" w:themeColor="text1"/>
          <w:sz w:val="24"/>
          <w:szCs w:val="24"/>
        </w:rPr>
        <w:t>nurtu</w:t>
      </w:r>
      <w:r w:rsidRPr="666A0591">
        <w:rPr>
          <w:rFonts w:eastAsiaTheme="minorEastAsia"/>
          <w:color w:val="000000" w:themeColor="text1"/>
          <w:sz w:val="24"/>
          <w:szCs w:val="24"/>
        </w:rPr>
        <w:t>ring and high levels of communication.</w:t>
      </w:r>
    </w:p>
    <w:p w14:paraId="2962A4CE" w14:textId="04798A98" w:rsidR="2AF949AA" w:rsidRDefault="2AF949AA" w:rsidP="2AF949AA">
      <w:pPr>
        <w:rPr>
          <w:rFonts w:eastAsiaTheme="minorEastAsia"/>
          <w:color w:val="000000" w:themeColor="text1"/>
          <w:sz w:val="24"/>
          <w:szCs w:val="24"/>
        </w:rPr>
      </w:pPr>
    </w:p>
    <w:p w14:paraId="5B75B02B" w14:textId="21394958" w:rsidR="6B3E84FA" w:rsidRDefault="0710AD8F" w:rsidP="1CB7E602">
      <w:pPr>
        <w:ind w:firstLine="720"/>
        <w:rPr>
          <w:sz w:val="24"/>
          <w:szCs w:val="24"/>
        </w:rPr>
      </w:pPr>
      <w:r w:rsidRPr="4AD5620D">
        <w:rPr>
          <w:sz w:val="24"/>
          <w:szCs w:val="24"/>
        </w:rPr>
        <w:t xml:space="preserve">Further information about the influences of accreditation and relationships with partners can be found throughout </w:t>
      </w:r>
      <w:r w:rsidR="6876F24D" w:rsidRPr="4AD5620D">
        <w:rPr>
          <w:sz w:val="24"/>
          <w:szCs w:val="24"/>
        </w:rPr>
        <w:t>this document. These unique elements of the Education Department can be seen across the areas of teaching effectiveness, professional achievements, and service.</w:t>
      </w:r>
    </w:p>
    <w:p w14:paraId="6DCC821A" w14:textId="2725B99A" w:rsidR="4AD5620D" w:rsidRDefault="4AD5620D" w:rsidP="4AD5620D">
      <w:pPr>
        <w:ind w:firstLine="720"/>
        <w:rPr>
          <w:sz w:val="24"/>
          <w:szCs w:val="24"/>
        </w:rPr>
      </w:pPr>
    </w:p>
    <w:p w14:paraId="611246A8" w14:textId="0A6A6ABE" w:rsidR="00316B1B" w:rsidRDefault="6C162787" w:rsidP="4B51E288">
      <w:pPr>
        <w:pStyle w:val="Heading1"/>
        <w:rPr>
          <w:rFonts w:ascii="Arial" w:eastAsia="Arial" w:hAnsi="Arial" w:cs="Arial"/>
          <w:b/>
          <w:bCs/>
          <w:color w:val="000000" w:themeColor="text1"/>
          <w:sz w:val="28"/>
          <w:szCs w:val="28"/>
        </w:rPr>
      </w:pPr>
      <w:bookmarkStart w:id="1" w:name="_Toc1170720017"/>
      <w:bookmarkStart w:id="2" w:name="_Toc530512453"/>
      <w:bookmarkStart w:id="3" w:name="_Toc384856973"/>
      <w:bookmarkStart w:id="4" w:name="_Toc321094630"/>
      <w:r w:rsidRPr="3941B942">
        <w:rPr>
          <w:rStyle w:val="Heading1Char"/>
        </w:rPr>
        <w:t>PART</w:t>
      </w:r>
      <w:r w:rsidR="391C4FB6" w:rsidRPr="3941B942">
        <w:rPr>
          <w:rStyle w:val="Heading1Char"/>
        </w:rPr>
        <w:t xml:space="preserve"> </w:t>
      </w:r>
      <w:r w:rsidR="3F583D8F" w:rsidRPr="3941B942">
        <w:rPr>
          <w:rStyle w:val="Heading1Char"/>
        </w:rPr>
        <w:t>2</w:t>
      </w:r>
      <w:r w:rsidRPr="3941B942">
        <w:rPr>
          <w:rStyle w:val="Heading1Char"/>
        </w:rPr>
        <w:t xml:space="preserve">: </w:t>
      </w:r>
      <w:r w:rsidR="1E6C02B6" w:rsidRPr="3941B942">
        <w:rPr>
          <w:rStyle w:val="Heading1Char"/>
        </w:rPr>
        <w:t xml:space="preserve">Promotion and Tenure </w:t>
      </w:r>
      <w:r w:rsidRPr="3941B942">
        <w:rPr>
          <w:rStyle w:val="Heading1Char"/>
        </w:rPr>
        <w:t>Overview</w:t>
      </w:r>
      <w:bookmarkEnd w:id="1"/>
      <w:bookmarkEnd w:id="2"/>
      <w:bookmarkEnd w:id="3"/>
      <w:bookmarkEnd w:id="4"/>
    </w:p>
    <w:p w14:paraId="1DFC004F" w14:textId="341D529F" w:rsidR="5D50E425" w:rsidRDefault="39CC9FBB" w:rsidP="6B29013E">
      <w:pPr>
        <w:ind w:firstLine="720"/>
        <w:rPr>
          <w:rFonts w:eastAsiaTheme="minorEastAsia"/>
          <w:color w:val="000000" w:themeColor="text1"/>
          <w:sz w:val="24"/>
          <w:szCs w:val="24"/>
        </w:rPr>
      </w:pPr>
      <w:r w:rsidRPr="6B29013E">
        <w:rPr>
          <w:rFonts w:eastAsiaTheme="minorEastAsia"/>
          <w:color w:val="000000" w:themeColor="text1"/>
          <w:sz w:val="24"/>
          <w:szCs w:val="24"/>
        </w:rPr>
        <w:t>To</w:t>
      </w:r>
      <w:r w:rsidR="7CB2AFBA" w:rsidRPr="6B29013E">
        <w:rPr>
          <w:rFonts w:eastAsiaTheme="minorEastAsia"/>
          <w:color w:val="000000" w:themeColor="text1"/>
          <w:sz w:val="24"/>
          <w:szCs w:val="24"/>
        </w:rPr>
        <w:t xml:space="preserve"> be successful, candidates for tenure or promotion must meet the expectations of the department and university in each of the three areas of teaching</w:t>
      </w:r>
      <w:r w:rsidR="4FBE67B7" w:rsidRPr="6B29013E">
        <w:rPr>
          <w:rFonts w:eastAsiaTheme="minorEastAsia"/>
          <w:color w:val="000000" w:themeColor="text1"/>
          <w:sz w:val="24"/>
          <w:szCs w:val="24"/>
        </w:rPr>
        <w:t xml:space="preserve"> effectiveness</w:t>
      </w:r>
      <w:r w:rsidR="7CB2AFBA" w:rsidRPr="6B29013E">
        <w:rPr>
          <w:rFonts w:eastAsiaTheme="minorEastAsia"/>
          <w:color w:val="000000" w:themeColor="text1"/>
          <w:sz w:val="24"/>
          <w:szCs w:val="24"/>
        </w:rPr>
        <w:t>, professional achievement</w:t>
      </w:r>
      <w:r w:rsidR="6C8523A7" w:rsidRPr="6B29013E">
        <w:rPr>
          <w:rFonts w:eastAsiaTheme="minorEastAsia"/>
          <w:color w:val="000000" w:themeColor="text1"/>
          <w:sz w:val="24"/>
          <w:szCs w:val="24"/>
        </w:rPr>
        <w:t>s</w:t>
      </w:r>
      <w:r w:rsidR="7CB2AFBA" w:rsidRPr="6B29013E">
        <w:rPr>
          <w:rFonts w:eastAsiaTheme="minorEastAsia"/>
          <w:color w:val="000000" w:themeColor="text1"/>
          <w:sz w:val="24"/>
          <w:szCs w:val="24"/>
        </w:rPr>
        <w:t xml:space="preserve">, and service. The Linfield Faculty Handbook (IV.6.2) defines teaching effectiveness as the most important of the three evaluation categories for the purposes of tenure and promotion, a position that the Education Department recognizes and supports, but </w:t>
      </w:r>
      <w:r w:rsidR="72862E94" w:rsidRPr="6B29013E">
        <w:rPr>
          <w:rFonts w:eastAsiaTheme="minorEastAsia"/>
          <w:color w:val="000000" w:themeColor="text1"/>
          <w:sz w:val="24"/>
          <w:szCs w:val="24"/>
        </w:rPr>
        <w:t>the Handbook</w:t>
      </w:r>
      <w:r w:rsidR="7CB2AFBA" w:rsidRPr="6B29013E">
        <w:rPr>
          <w:rFonts w:eastAsiaTheme="minorEastAsia"/>
          <w:color w:val="000000" w:themeColor="text1"/>
          <w:sz w:val="24"/>
          <w:szCs w:val="24"/>
        </w:rPr>
        <w:t xml:space="preserve"> also makes clear that candidates must demonstrate excellence in all three areas. </w:t>
      </w:r>
      <w:r w:rsidR="0B8DC83C" w:rsidRPr="6B29013E">
        <w:rPr>
          <w:rFonts w:eastAsiaTheme="minorEastAsia"/>
          <w:color w:val="000000" w:themeColor="text1"/>
          <w:sz w:val="24"/>
          <w:szCs w:val="24"/>
        </w:rPr>
        <w:t xml:space="preserve">At each evaluation of a </w:t>
      </w:r>
      <w:r w:rsidR="3BF6E583" w:rsidRPr="6B29013E">
        <w:rPr>
          <w:rFonts w:eastAsiaTheme="minorEastAsia"/>
          <w:color w:val="000000" w:themeColor="text1"/>
          <w:sz w:val="24"/>
          <w:szCs w:val="24"/>
        </w:rPr>
        <w:t>candidate</w:t>
      </w:r>
      <w:r w:rsidR="2BEB99EC" w:rsidRPr="6B29013E">
        <w:rPr>
          <w:rFonts w:eastAsiaTheme="minorEastAsia"/>
          <w:color w:val="000000" w:themeColor="text1"/>
          <w:sz w:val="24"/>
          <w:szCs w:val="24"/>
        </w:rPr>
        <w:t>'s</w:t>
      </w:r>
      <w:r w:rsidR="3BF6E583" w:rsidRPr="6B29013E">
        <w:rPr>
          <w:rFonts w:eastAsiaTheme="minorEastAsia"/>
          <w:color w:val="000000" w:themeColor="text1"/>
          <w:sz w:val="24"/>
          <w:szCs w:val="24"/>
        </w:rPr>
        <w:t xml:space="preserve"> portfolio, the Education Department will be looking for con</w:t>
      </w:r>
      <w:r w:rsidR="5725EB25" w:rsidRPr="6B29013E">
        <w:rPr>
          <w:rFonts w:eastAsiaTheme="minorEastAsia"/>
          <w:color w:val="000000" w:themeColor="text1"/>
          <w:sz w:val="24"/>
          <w:szCs w:val="24"/>
        </w:rPr>
        <w:t>tinuing</w:t>
      </w:r>
      <w:r w:rsidR="3BF6E583" w:rsidRPr="6B29013E">
        <w:rPr>
          <w:rFonts w:eastAsiaTheme="minorEastAsia"/>
          <w:color w:val="000000" w:themeColor="text1"/>
          <w:sz w:val="24"/>
          <w:szCs w:val="24"/>
        </w:rPr>
        <w:t xml:space="preserve"> and ongoing efforts in </w:t>
      </w:r>
      <w:r w:rsidR="3EFDCFFD" w:rsidRPr="6B29013E">
        <w:rPr>
          <w:rFonts w:eastAsiaTheme="minorEastAsia"/>
          <w:color w:val="000000" w:themeColor="text1"/>
          <w:sz w:val="24"/>
          <w:szCs w:val="24"/>
        </w:rPr>
        <w:t>teaching effectiveness, professional achievements and service</w:t>
      </w:r>
      <w:r w:rsidR="3BF6E583" w:rsidRPr="6B29013E">
        <w:rPr>
          <w:rFonts w:eastAsiaTheme="minorEastAsia"/>
          <w:color w:val="000000" w:themeColor="text1"/>
          <w:sz w:val="24"/>
          <w:szCs w:val="24"/>
        </w:rPr>
        <w:t>.</w:t>
      </w:r>
    </w:p>
    <w:p w14:paraId="6BC2E9C8" w14:textId="1CD22476" w:rsidR="03BF12C3" w:rsidRDefault="32D5F905" w:rsidP="1CB7E602">
      <w:pPr>
        <w:ind w:firstLine="720"/>
        <w:rPr>
          <w:rFonts w:eastAsiaTheme="minorEastAsia"/>
          <w:sz w:val="24"/>
          <w:szCs w:val="24"/>
        </w:rPr>
      </w:pPr>
      <w:r w:rsidRPr="1CB7E602">
        <w:rPr>
          <w:rFonts w:eastAsiaTheme="minorEastAsia"/>
          <w:sz w:val="24"/>
          <w:szCs w:val="24"/>
        </w:rPr>
        <w:t xml:space="preserve">As stated in the Faculty Handbook (Section IV.6.7.5): </w:t>
      </w:r>
    </w:p>
    <w:p w14:paraId="443CBA57" w14:textId="40C52FD5" w:rsidR="03BF12C3" w:rsidRDefault="32D5F905" w:rsidP="3941B942">
      <w:pPr>
        <w:ind w:left="720" w:right="864"/>
        <w:rPr>
          <w:rFonts w:eastAsiaTheme="minorEastAsia"/>
          <w:sz w:val="24"/>
          <w:szCs w:val="24"/>
        </w:rPr>
      </w:pPr>
      <w:r w:rsidRPr="3941B942">
        <w:rPr>
          <w:rFonts w:eastAsiaTheme="minorEastAsia"/>
          <w:sz w:val="24"/>
          <w:szCs w:val="24"/>
        </w:rPr>
        <w:t>“Although it inevitably relies on accomplishment to date, the granting of tenure is a future-oriented decision. As such, it represents a confident prediction by the university that (a) the individual will continue to do outstanding work in the three evaluation categories [Teaching Effectiveness, Professional Achievement</w:t>
      </w:r>
      <w:r w:rsidR="394A93BD" w:rsidRPr="3941B942">
        <w:rPr>
          <w:rFonts w:eastAsiaTheme="minorEastAsia"/>
          <w:sz w:val="24"/>
          <w:szCs w:val="24"/>
        </w:rPr>
        <w:t>s</w:t>
      </w:r>
      <w:r w:rsidRPr="3941B942">
        <w:rPr>
          <w:rFonts w:eastAsiaTheme="minorEastAsia"/>
          <w:sz w:val="24"/>
          <w:szCs w:val="24"/>
        </w:rPr>
        <w:t>, and Service], and (b) there will be a significant degree of professional compatibility between the individual’s contributions and the needs of the university.”</w:t>
      </w:r>
    </w:p>
    <w:p w14:paraId="71DACE6B" w14:textId="07F2CFE4" w:rsidR="03BF12C3" w:rsidRDefault="32D5F905" w:rsidP="4AD5620D">
      <w:pPr>
        <w:ind w:firstLine="720"/>
        <w:rPr>
          <w:rFonts w:ascii="Calibri" w:eastAsia="Calibri" w:hAnsi="Calibri" w:cs="Calibri"/>
          <w:sz w:val="24"/>
          <w:szCs w:val="24"/>
        </w:rPr>
      </w:pPr>
      <w:r w:rsidRPr="7D46F7F5">
        <w:rPr>
          <w:rFonts w:eastAsiaTheme="minorEastAsia"/>
          <w:color w:val="000000" w:themeColor="text1"/>
          <w:sz w:val="24"/>
          <w:szCs w:val="24"/>
        </w:rPr>
        <w:t>The Education Department values an integrated approach in which our faculty members blend teaching effectiveness, professional achievements, and service to the University and community.</w:t>
      </w:r>
      <w:r w:rsidRPr="7D46F7F5">
        <w:rPr>
          <w:rFonts w:eastAsiaTheme="minorEastAsia"/>
          <w:sz w:val="24"/>
          <w:szCs w:val="24"/>
        </w:rPr>
        <w:t xml:space="preserve"> </w:t>
      </w:r>
      <w:r w:rsidRPr="7D46F7F5">
        <w:rPr>
          <w:rFonts w:eastAsiaTheme="minorEastAsia"/>
          <w:color w:val="000000" w:themeColor="text1"/>
          <w:sz w:val="24"/>
          <w:szCs w:val="24"/>
        </w:rPr>
        <w:t>Below we outline and describe examples for each of the three categories as well as criteria for promotion and the granting of tenure. We do not intend to exclude all other possible activities</w:t>
      </w:r>
      <w:r w:rsidR="1D6B716E" w:rsidRPr="7D46F7F5">
        <w:rPr>
          <w:rFonts w:eastAsiaTheme="minorEastAsia"/>
          <w:color w:val="000000" w:themeColor="text1"/>
          <w:sz w:val="24"/>
          <w:szCs w:val="24"/>
        </w:rPr>
        <w:t xml:space="preserve"> or forms of evidence</w:t>
      </w:r>
      <w:r w:rsidRPr="7D46F7F5">
        <w:rPr>
          <w:rFonts w:eastAsiaTheme="minorEastAsia"/>
          <w:color w:val="000000" w:themeColor="text1"/>
          <w:sz w:val="24"/>
          <w:szCs w:val="24"/>
        </w:rPr>
        <w:t xml:space="preserve">. It is incumbent on the candidate to explain how any activity, whether listed as an exemplar or not, meets the Department’s expectations for </w:t>
      </w:r>
      <w:r w:rsidR="2371437F" w:rsidRPr="7D46F7F5">
        <w:rPr>
          <w:rFonts w:eastAsiaTheme="minorEastAsia"/>
          <w:color w:val="000000" w:themeColor="text1"/>
          <w:sz w:val="24"/>
          <w:szCs w:val="24"/>
        </w:rPr>
        <w:t>the category the candidate has chosen to include it in</w:t>
      </w:r>
      <w:r w:rsidRPr="7D46F7F5">
        <w:rPr>
          <w:rFonts w:eastAsiaTheme="minorEastAsia"/>
          <w:color w:val="000000" w:themeColor="text1"/>
          <w:sz w:val="24"/>
          <w:szCs w:val="24"/>
        </w:rPr>
        <w:t>.</w:t>
      </w:r>
      <w:r w:rsidR="7EE6DBA7" w:rsidRPr="7D46F7F5">
        <w:rPr>
          <w:rFonts w:eastAsiaTheme="minorEastAsia"/>
          <w:color w:val="000000" w:themeColor="text1"/>
          <w:sz w:val="24"/>
          <w:szCs w:val="24"/>
        </w:rPr>
        <w:t xml:space="preserve"> </w:t>
      </w:r>
      <w:r w:rsidR="58E1BBC8" w:rsidRPr="7D46F7F5">
        <w:rPr>
          <w:rFonts w:ascii="Calibri" w:eastAsia="Calibri" w:hAnsi="Calibri" w:cs="Calibri"/>
          <w:sz w:val="24"/>
          <w:szCs w:val="24"/>
        </w:rPr>
        <w:t xml:space="preserve">It is also the candidate’s responsibility to </w:t>
      </w:r>
      <w:r w:rsidR="58E1BBC8" w:rsidRPr="7D46F7F5">
        <w:rPr>
          <w:rFonts w:ascii="Calibri" w:eastAsia="Calibri" w:hAnsi="Calibri" w:cs="Calibri"/>
          <w:sz w:val="24"/>
          <w:szCs w:val="24"/>
        </w:rPr>
        <w:lastRenderedPageBreak/>
        <w:t xml:space="preserve">reference the Faculty Handbook and the most current </w:t>
      </w:r>
      <w:hyperlink r:id="rId10">
        <w:r w:rsidR="58E1BBC8" w:rsidRPr="7D46F7F5">
          <w:rPr>
            <w:rStyle w:val="Hyperlink"/>
            <w:rFonts w:ascii="Calibri" w:eastAsia="Calibri" w:hAnsi="Calibri" w:cs="Calibri"/>
            <w:sz w:val="24"/>
            <w:szCs w:val="24"/>
          </w:rPr>
          <w:t>P&amp;T eFile preparation guidelines</w:t>
        </w:r>
      </w:hyperlink>
      <w:r w:rsidR="58E1BBC8" w:rsidRPr="7D46F7F5">
        <w:rPr>
          <w:rFonts w:ascii="Calibri" w:eastAsia="Calibri" w:hAnsi="Calibri" w:cs="Calibri"/>
          <w:sz w:val="24"/>
          <w:szCs w:val="24"/>
        </w:rPr>
        <w:t xml:space="preserve"> when preparing and organizing materials for their portfolio in order t</w:t>
      </w:r>
      <w:r w:rsidR="284BD7DF" w:rsidRPr="7D46F7F5">
        <w:rPr>
          <w:rFonts w:ascii="Calibri" w:eastAsia="Calibri" w:hAnsi="Calibri" w:cs="Calibri"/>
          <w:sz w:val="24"/>
          <w:szCs w:val="24"/>
        </w:rPr>
        <w:t xml:space="preserve">o </w:t>
      </w:r>
      <w:r w:rsidR="58E1BBC8" w:rsidRPr="7D46F7F5">
        <w:rPr>
          <w:rFonts w:ascii="Calibri" w:eastAsia="Calibri" w:hAnsi="Calibri" w:cs="Calibri"/>
          <w:sz w:val="24"/>
          <w:szCs w:val="24"/>
        </w:rPr>
        <w:t>include any required evidence.</w:t>
      </w:r>
    </w:p>
    <w:p w14:paraId="53DFF11F" w14:textId="40AAC182" w:rsidR="1CB7E602" w:rsidRDefault="1CB7E602" w:rsidP="1CB7E602">
      <w:pPr>
        <w:ind w:firstLine="720"/>
        <w:rPr>
          <w:rFonts w:eastAsiaTheme="minorEastAsia"/>
          <w:color w:val="000000" w:themeColor="text1"/>
          <w:sz w:val="24"/>
          <w:szCs w:val="24"/>
        </w:rPr>
      </w:pPr>
    </w:p>
    <w:p w14:paraId="3E2B240E" w14:textId="1FC10410" w:rsidR="46A020A9" w:rsidRDefault="14F65928" w:rsidP="1CB7E602">
      <w:pPr>
        <w:rPr>
          <w:rFonts w:eastAsiaTheme="minorEastAsia"/>
          <w:sz w:val="24"/>
          <w:szCs w:val="24"/>
          <w:u w:val="single"/>
        </w:rPr>
      </w:pPr>
      <w:r w:rsidRPr="1CB7E602">
        <w:rPr>
          <w:rFonts w:eastAsiaTheme="minorEastAsia"/>
          <w:sz w:val="24"/>
          <w:szCs w:val="24"/>
          <w:u w:val="single"/>
        </w:rPr>
        <w:t>Granting of Tenure</w:t>
      </w:r>
    </w:p>
    <w:p w14:paraId="7E845FD9" w14:textId="16E761E7" w:rsidR="46A020A9" w:rsidRDefault="14F65928" w:rsidP="2AF949AA">
      <w:pPr>
        <w:rPr>
          <w:rFonts w:eastAsiaTheme="minorEastAsia"/>
          <w:sz w:val="24"/>
          <w:szCs w:val="24"/>
        </w:rPr>
      </w:pPr>
      <w:r w:rsidRPr="2AF949AA">
        <w:rPr>
          <w:rFonts w:eastAsiaTheme="minorEastAsia"/>
          <w:sz w:val="24"/>
          <w:szCs w:val="24"/>
        </w:rPr>
        <w:t xml:space="preserve">In general, Education faculty apply to be promoted from </w:t>
      </w:r>
      <w:r w:rsidR="1BE3EBA4" w:rsidRPr="2AF949AA">
        <w:rPr>
          <w:rFonts w:eastAsiaTheme="minorEastAsia"/>
          <w:sz w:val="24"/>
          <w:szCs w:val="24"/>
        </w:rPr>
        <w:t>A</w:t>
      </w:r>
      <w:r w:rsidRPr="2AF949AA">
        <w:rPr>
          <w:rFonts w:eastAsiaTheme="minorEastAsia"/>
          <w:sz w:val="24"/>
          <w:szCs w:val="24"/>
        </w:rPr>
        <w:t xml:space="preserve">ssistant to </w:t>
      </w:r>
      <w:r w:rsidR="73AAE083" w:rsidRPr="2AF949AA">
        <w:rPr>
          <w:rFonts w:eastAsiaTheme="minorEastAsia"/>
          <w:sz w:val="24"/>
          <w:szCs w:val="24"/>
        </w:rPr>
        <w:t>A</w:t>
      </w:r>
      <w:r w:rsidRPr="2AF949AA">
        <w:rPr>
          <w:rFonts w:eastAsiaTheme="minorEastAsia"/>
          <w:sz w:val="24"/>
          <w:szCs w:val="24"/>
        </w:rPr>
        <w:t xml:space="preserve">ssociate </w:t>
      </w:r>
      <w:r w:rsidR="0F028BBE" w:rsidRPr="2AF949AA">
        <w:rPr>
          <w:rFonts w:eastAsiaTheme="minorEastAsia"/>
          <w:sz w:val="24"/>
          <w:szCs w:val="24"/>
        </w:rPr>
        <w:t>P</w:t>
      </w:r>
      <w:r w:rsidRPr="2AF949AA">
        <w:rPr>
          <w:rFonts w:eastAsiaTheme="minorEastAsia"/>
          <w:sz w:val="24"/>
          <w:szCs w:val="24"/>
        </w:rPr>
        <w:t xml:space="preserve">rofessor and earn tenure at the same time. Anytime a candidate is applying for </w:t>
      </w:r>
      <w:r w:rsidR="10E4FD3A" w:rsidRPr="2AF949AA">
        <w:rPr>
          <w:rFonts w:eastAsiaTheme="minorEastAsia"/>
          <w:sz w:val="24"/>
          <w:szCs w:val="24"/>
        </w:rPr>
        <w:t>tenure</w:t>
      </w:r>
      <w:r w:rsidRPr="2AF949AA">
        <w:rPr>
          <w:rFonts w:eastAsiaTheme="minorEastAsia"/>
          <w:sz w:val="24"/>
          <w:szCs w:val="24"/>
        </w:rPr>
        <w:t xml:space="preserve"> at the same time as</w:t>
      </w:r>
      <w:r w:rsidR="011AA348" w:rsidRPr="2AF949AA">
        <w:rPr>
          <w:rFonts w:eastAsiaTheme="minorEastAsia"/>
          <w:sz w:val="24"/>
          <w:szCs w:val="24"/>
        </w:rPr>
        <w:t xml:space="preserve"> a promotion</w:t>
      </w:r>
      <w:r w:rsidRPr="2AF949AA">
        <w:rPr>
          <w:rFonts w:eastAsiaTheme="minorEastAsia"/>
          <w:sz w:val="24"/>
          <w:szCs w:val="24"/>
        </w:rPr>
        <w:t xml:space="preserve">, the tenure requirements will be the same as the requirements for the simultaneous promotion. </w:t>
      </w:r>
    </w:p>
    <w:p w14:paraId="16E083F8" w14:textId="30977E39" w:rsidR="46A020A9" w:rsidRDefault="6536F4A1" w:rsidP="00181FC3">
      <w:pPr>
        <w:pStyle w:val="ListParagraph"/>
        <w:numPr>
          <w:ilvl w:val="0"/>
          <w:numId w:val="5"/>
        </w:numPr>
        <w:rPr>
          <w:rFonts w:eastAsiaTheme="minorEastAsia"/>
          <w:sz w:val="24"/>
          <w:szCs w:val="24"/>
        </w:rPr>
      </w:pPr>
      <w:r w:rsidRPr="6B29013E">
        <w:rPr>
          <w:rFonts w:eastAsiaTheme="minorEastAsia"/>
          <w:sz w:val="24"/>
          <w:szCs w:val="24"/>
        </w:rPr>
        <w:t xml:space="preserve">For example, for a faculty member at the Associate Professor rank who is applying for tenure only, refer to the standards for Promotion to Associate Professor. </w:t>
      </w:r>
    </w:p>
    <w:p w14:paraId="47A8B72B" w14:textId="1F63371A" w:rsidR="46A020A9" w:rsidRDefault="5245A964" w:rsidP="00181FC3">
      <w:pPr>
        <w:pStyle w:val="ListParagraph"/>
        <w:numPr>
          <w:ilvl w:val="0"/>
          <w:numId w:val="5"/>
        </w:numPr>
        <w:rPr>
          <w:rFonts w:eastAsiaTheme="minorEastAsia"/>
          <w:sz w:val="24"/>
          <w:szCs w:val="24"/>
        </w:rPr>
      </w:pPr>
      <w:r w:rsidRPr="6B29013E">
        <w:rPr>
          <w:rFonts w:eastAsiaTheme="minorEastAsia"/>
          <w:sz w:val="24"/>
          <w:szCs w:val="24"/>
        </w:rPr>
        <w:t xml:space="preserve">For example, for a faculty member at the Associate Professor rank who is applying for tenure and promotion to </w:t>
      </w:r>
      <w:r w:rsidR="55BFB139" w:rsidRPr="6B29013E">
        <w:rPr>
          <w:rFonts w:eastAsiaTheme="minorEastAsia"/>
          <w:sz w:val="24"/>
          <w:szCs w:val="24"/>
        </w:rPr>
        <w:t>F</w:t>
      </w:r>
      <w:r w:rsidRPr="6B29013E">
        <w:rPr>
          <w:rFonts w:eastAsiaTheme="minorEastAsia"/>
          <w:sz w:val="24"/>
          <w:szCs w:val="24"/>
        </w:rPr>
        <w:t>ull</w:t>
      </w:r>
      <w:r w:rsidR="55BFB139" w:rsidRPr="6B29013E">
        <w:rPr>
          <w:rFonts w:eastAsiaTheme="minorEastAsia"/>
          <w:sz w:val="24"/>
          <w:szCs w:val="24"/>
        </w:rPr>
        <w:t xml:space="preserve"> Professor</w:t>
      </w:r>
      <w:r w:rsidR="36290937" w:rsidRPr="6B29013E">
        <w:rPr>
          <w:rFonts w:eastAsiaTheme="minorEastAsia"/>
          <w:sz w:val="24"/>
          <w:szCs w:val="24"/>
        </w:rPr>
        <w:t xml:space="preserve"> simultaneously</w:t>
      </w:r>
      <w:r w:rsidRPr="6B29013E">
        <w:rPr>
          <w:rFonts w:eastAsiaTheme="minorEastAsia"/>
          <w:sz w:val="24"/>
          <w:szCs w:val="24"/>
        </w:rPr>
        <w:t xml:space="preserve">, refer to the standards for promotion to </w:t>
      </w:r>
      <w:r w:rsidR="27B5E95E" w:rsidRPr="6B29013E">
        <w:rPr>
          <w:rFonts w:eastAsiaTheme="minorEastAsia"/>
          <w:sz w:val="24"/>
          <w:szCs w:val="24"/>
        </w:rPr>
        <w:t>F</w:t>
      </w:r>
      <w:r w:rsidRPr="6B29013E">
        <w:rPr>
          <w:rFonts w:eastAsiaTheme="minorEastAsia"/>
          <w:sz w:val="24"/>
          <w:szCs w:val="24"/>
        </w:rPr>
        <w:t xml:space="preserve">ull </w:t>
      </w:r>
      <w:r w:rsidR="5E4A6F70" w:rsidRPr="6B29013E">
        <w:rPr>
          <w:rFonts w:eastAsiaTheme="minorEastAsia"/>
          <w:sz w:val="24"/>
          <w:szCs w:val="24"/>
        </w:rPr>
        <w:t>P</w:t>
      </w:r>
      <w:r w:rsidRPr="6B29013E">
        <w:rPr>
          <w:rFonts w:eastAsiaTheme="minorEastAsia"/>
          <w:sz w:val="24"/>
          <w:szCs w:val="24"/>
        </w:rPr>
        <w:t xml:space="preserve">rofessor. </w:t>
      </w:r>
    </w:p>
    <w:p w14:paraId="6F9C2880" w14:textId="6DAF85F3" w:rsidR="2AF949AA" w:rsidRDefault="2AF949AA" w:rsidP="2AF949AA">
      <w:pPr>
        <w:rPr>
          <w:rFonts w:eastAsiaTheme="minorEastAsia"/>
          <w:sz w:val="24"/>
          <w:szCs w:val="24"/>
        </w:rPr>
      </w:pPr>
    </w:p>
    <w:p w14:paraId="1C99347D" w14:textId="04737375" w:rsidR="00316B1B" w:rsidRDefault="6C162787" w:rsidP="4B51E288">
      <w:pPr>
        <w:pStyle w:val="Heading1"/>
        <w:rPr>
          <w:rFonts w:ascii="Arial" w:eastAsia="Arial" w:hAnsi="Arial" w:cs="Arial"/>
          <w:b/>
          <w:bCs/>
          <w:color w:val="000000" w:themeColor="text1"/>
          <w:sz w:val="28"/>
          <w:szCs w:val="28"/>
        </w:rPr>
      </w:pPr>
      <w:bookmarkStart w:id="5" w:name="_Toc1154418225"/>
      <w:bookmarkStart w:id="6" w:name="_Toc271038712"/>
      <w:bookmarkStart w:id="7" w:name="_Toc2127866303"/>
      <w:bookmarkStart w:id="8" w:name="_Toc767515358"/>
      <w:bookmarkStart w:id="9" w:name="_Toc242735316"/>
      <w:r>
        <w:t>PART 3: Teaching Effectiveness</w:t>
      </w:r>
      <w:bookmarkEnd w:id="5"/>
      <w:bookmarkEnd w:id="6"/>
      <w:bookmarkEnd w:id="7"/>
      <w:bookmarkEnd w:id="8"/>
      <w:bookmarkEnd w:id="9"/>
    </w:p>
    <w:p w14:paraId="01B23DE9" w14:textId="5E5BAD7A" w:rsidR="7A91ED8E" w:rsidRDefault="2B81E41A" w:rsidP="2FC4D52D">
      <w:pPr>
        <w:rPr>
          <w:rFonts w:ascii="Calibri" w:eastAsia="Calibri" w:hAnsi="Calibri" w:cs="Calibri"/>
          <w:sz w:val="24"/>
          <w:szCs w:val="24"/>
        </w:rPr>
      </w:pPr>
      <w:r w:rsidRPr="666A0591">
        <w:rPr>
          <w:rFonts w:ascii="Calibri" w:eastAsia="Calibri" w:hAnsi="Calibri" w:cs="Calibri"/>
          <w:sz w:val="24"/>
          <w:szCs w:val="24"/>
        </w:rPr>
        <w:t xml:space="preserve">Education faculty are expected to be excellent teachers, knowledgeable in their fields, effectively communicating their knowledge to others, and using appropriate pedagogy that fosters students’ intellectual growth. Effective teaching includes </w:t>
      </w:r>
      <w:r w:rsidR="03848089" w:rsidRPr="666A0591">
        <w:rPr>
          <w:rFonts w:ascii="Calibri" w:eastAsia="Calibri" w:hAnsi="Calibri" w:cs="Calibri"/>
          <w:sz w:val="24"/>
          <w:szCs w:val="24"/>
        </w:rPr>
        <w:t>working</w:t>
      </w:r>
      <w:r w:rsidRPr="666A0591">
        <w:rPr>
          <w:rFonts w:ascii="Calibri" w:eastAsia="Calibri" w:hAnsi="Calibri" w:cs="Calibri"/>
          <w:sz w:val="24"/>
          <w:szCs w:val="24"/>
        </w:rPr>
        <w:t xml:space="preserve"> with students within and beyond the classroom. </w:t>
      </w:r>
    </w:p>
    <w:p w14:paraId="2A999FAB" w14:textId="50425875" w:rsidR="7A91ED8E" w:rsidRDefault="0A69882B">
      <w:r w:rsidRPr="7D46F7F5">
        <w:rPr>
          <w:rFonts w:ascii="Calibri" w:eastAsia="Calibri" w:hAnsi="Calibri" w:cs="Calibri"/>
          <w:sz w:val="24"/>
          <w:szCs w:val="24"/>
        </w:rPr>
        <w:t>Consistent with the Faculty Handbook (Section IV.6.1.1) faculty must demonstrate teaching effectiveness in several important areas, including*:</w:t>
      </w:r>
    </w:p>
    <w:p w14:paraId="226F3EF8" w14:textId="0B6E5D91" w:rsidR="7A91ED8E" w:rsidRDefault="7A91ED8E" w:rsidP="00181FC3">
      <w:pPr>
        <w:pStyle w:val="ListParagraph"/>
        <w:numPr>
          <w:ilvl w:val="0"/>
          <w:numId w:val="16"/>
        </w:numPr>
        <w:rPr>
          <w:rFonts w:ascii="Calibri" w:eastAsia="Calibri" w:hAnsi="Calibri" w:cs="Calibri"/>
          <w:sz w:val="24"/>
          <w:szCs w:val="24"/>
        </w:rPr>
      </w:pPr>
      <w:r w:rsidRPr="46A020A9">
        <w:rPr>
          <w:rFonts w:ascii="Calibri" w:eastAsia="Calibri" w:hAnsi="Calibri" w:cs="Calibri"/>
          <w:sz w:val="24"/>
          <w:szCs w:val="24"/>
        </w:rPr>
        <w:t>Knowledge of and enthusiasm for the subject matter</w:t>
      </w:r>
    </w:p>
    <w:p w14:paraId="6DB13F91" w14:textId="534FDD61" w:rsidR="7A91ED8E" w:rsidRDefault="7A91ED8E" w:rsidP="00181FC3">
      <w:pPr>
        <w:pStyle w:val="ListParagraph"/>
        <w:numPr>
          <w:ilvl w:val="0"/>
          <w:numId w:val="16"/>
        </w:numPr>
        <w:rPr>
          <w:rFonts w:ascii="Calibri" w:eastAsia="Calibri" w:hAnsi="Calibri" w:cs="Calibri"/>
          <w:sz w:val="24"/>
          <w:szCs w:val="24"/>
        </w:rPr>
      </w:pPr>
      <w:r w:rsidRPr="46A020A9">
        <w:rPr>
          <w:rFonts w:ascii="Calibri" w:eastAsia="Calibri" w:hAnsi="Calibri" w:cs="Calibri"/>
          <w:sz w:val="24"/>
          <w:szCs w:val="24"/>
        </w:rPr>
        <w:t>Attention to the organization of courses as it relates to the level and preparation of the students</w:t>
      </w:r>
    </w:p>
    <w:p w14:paraId="168FE7A9" w14:textId="4B009655" w:rsidR="7A91ED8E" w:rsidRDefault="7A91ED8E" w:rsidP="00181FC3">
      <w:pPr>
        <w:pStyle w:val="ListParagraph"/>
        <w:numPr>
          <w:ilvl w:val="0"/>
          <w:numId w:val="16"/>
        </w:numPr>
        <w:rPr>
          <w:rFonts w:ascii="Calibri" w:eastAsia="Calibri" w:hAnsi="Calibri" w:cs="Calibri"/>
          <w:sz w:val="24"/>
          <w:szCs w:val="24"/>
        </w:rPr>
      </w:pPr>
      <w:r w:rsidRPr="46A020A9">
        <w:rPr>
          <w:rFonts w:ascii="Calibri" w:eastAsia="Calibri" w:hAnsi="Calibri" w:cs="Calibri"/>
          <w:sz w:val="24"/>
          <w:szCs w:val="24"/>
        </w:rPr>
        <w:t>Organization and effective use of class time</w:t>
      </w:r>
    </w:p>
    <w:p w14:paraId="40759229" w14:textId="20BEEF8D" w:rsidR="7A91ED8E" w:rsidRDefault="7A91ED8E" w:rsidP="00181FC3">
      <w:pPr>
        <w:pStyle w:val="ListParagraph"/>
        <w:numPr>
          <w:ilvl w:val="0"/>
          <w:numId w:val="16"/>
        </w:numPr>
        <w:rPr>
          <w:rFonts w:ascii="Calibri" w:eastAsia="Calibri" w:hAnsi="Calibri" w:cs="Calibri"/>
          <w:sz w:val="24"/>
          <w:szCs w:val="24"/>
        </w:rPr>
      </w:pPr>
      <w:r w:rsidRPr="46A020A9">
        <w:rPr>
          <w:rFonts w:ascii="Calibri" w:eastAsia="Calibri" w:hAnsi="Calibri" w:cs="Calibri"/>
          <w:sz w:val="24"/>
          <w:szCs w:val="24"/>
        </w:rPr>
        <w:t>High expectations for each student</w:t>
      </w:r>
    </w:p>
    <w:p w14:paraId="37027D4E" w14:textId="7BDCDC14" w:rsidR="7A91ED8E" w:rsidRDefault="7A91ED8E" w:rsidP="00181FC3">
      <w:pPr>
        <w:pStyle w:val="ListParagraph"/>
        <w:numPr>
          <w:ilvl w:val="0"/>
          <w:numId w:val="16"/>
        </w:numPr>
        <w:rPr>
          <w:rFonts w:ascii="Calibri" w:eastAsia="Calibri" w:hAnsi="Calibri" w:cs="Calibri"/>
          <w:sz w:val="24"/>
          <w:szCs w:val="24"/>
        </w:rPr>
      </w:pPr>
      <w:r w:rsidRPr="46A020A9">
        <w:rPr>
          <w:rFonts w:ascii="Calibri" w:eastAsia="Calibri" w:hAnsi="Calibri" w:cs="Calibri"/>
          <w:sz w:val="24"/>
          <w:szCs w:val="24"/>
        </w:rPr>
        <w:t>Respect for students’ viewpoints</w:t>
      </w:r>
    </w:p>
    <w:p w14:paraId="463B9AE4" w14:textId="4F32DDE7" w:rsidR="7A91ED8E" w:rsidRDefault="7A91ED8E" w:rsidP="00181FC3">
      <w:pPr>
        <w:pStyle w:val="ListParagraph"/>
        <w:numPr>
          <w:ilvl w:val="0"/>
          <w:numId w:val="16"/>
        </w:numPr>
        <w:rPr>
          <w:rFonts w:ascii="Calibri" w:eastAsia="Calibri" w:hAnsi="Calibri" w:cs="Calibri"/>
          <w:sz w:val="24"/>
          <w:szCs w:val="24"/>
        </w:rPr>
      </w:pPr>
      <w:r w:rsidRPr="46A020A9">
        <w:rPr>
          <w:rFonts w:ascii="Calibri" w:eastAsia="Calibri" w:hAnsi="Calibri" w:cs="Calibri"/>
          <w:sz w:val="24"/>
          <w:szCs w:val="24"/>
        </w:rPr>
        <w:t>Use of effective and fair grading methods</w:t>
      </w:r>
    </w:p>
    <w:p w14:paraId="11CAD9BF" w14:textId="5B1ECF86" w:rsidR="7A91ED8E" w:rsidRDefault="7A91ED8E" w:rsidP="00181FC3">
      <w:pPr>
        <w:pStyle w:val="ListParagraph"/>
        <w:numPr>
          <w:ilvl w:val="0"/>
          <w:numId w:val="16"/>
        </w:numPr>
        <w:rPr>
          <w:rFonts w:ascii="Calibri" w:eastAsia="Calibri" w:hAnsi="Calibri" w:cs="Calibri"/>
          <w:sz w:val="24"/>
          <w:szCs w:val="24"/>
        </w:rPr>
      </w:pPr>
      <w:r w:rsidRPr="3941B942">
        <w:rPr>
          <w:rFonts w:ascii="Calibri" w:eastAsia="Calibri" w:hAnsi="Calibri" w:cs="Calibri"/>
          <w:sz w:val="24"/>
          <w:szCs w:val="24"/>
        </w:rPr>
        <w:t>What students take from their courses</w:t>
      </w:r>
    </w:p>
    <w:p w14:paraId="02105E21" w14:textId="7EA0198D" w:rsidR="7A91ED8E" w:rsidRDefault="7A91ED8E" w:rsidP="00181FC3">
      <w:pPr>
        <w:pStyle w:val="ListParagraph"/>
        <w:numPr>
          <w:ilvl w:val="0"/>
          <w:numId w:val="16"/>
        </w:numPr>
        <w:rPr>
          <w:rFonts w:ascii="Calibri" w:eastAsia="Calibri" w:hAnsi="Calibri" w:cs="Calibri"/>
          <w:sz w:val="24"/>
          <w:szCs w:val="24"/>
        </w:rPr>
      </w:pPr>
      <w:r w:rsidRPr="3941B942">
        <w:rPr>
          <w:rFonts w:ascii="Calibri" w:eastAsia="Calibri" w:hAnsi="Calibri" w:cs="Calibri"/>
          <w:sz w:val="24"/>
          <w:szCs w:val="24"/>
        </w:rPr>
        <w:t>Availability for consultation with students</w:t>
      </w:r>
    </w:p>
    <w:p w14:paraId="3732C399" w14:textId="591E0497" w:rsidR="7A91ED8E" w:rsidRDefault="7A91ED8E" w:rsidP="00181FC3">
      <w:pPr>
        <w:pStyle w:val="ListParagraph"/>
        <w:numPr>
          <w:ilvl w:val="0"/>
          <w:numId w:val="16"/>
        </w:numPr>
        <w:rPr>
          <w:rFonts w:ascii="Calibri" w:eastAsia="Calibri" w:hAnsi="Calibri" w:cs="Calibri"/>
          <w:sz w:val="24"/>
          <w:szCs w:val="24"/>
        </w:rPr>
      </w:pPr>
      <w:r w:rsidRPr="3941B942">
        <w:rPr>
          <w:rFonts w:ascii="Calibri" w:eastAsia="Calibri" w:hAnsi="Calibri" w:cs="Calibri"/>
          <w:sz w:val="24"/>
          <w:szCs w:val="24"/>
        </w:rPr>
        <w:t>Consistent and effective attention to the needs of advisees.</w:t>
      </w:r>
    </w:p>
    <w:p w14:paraId="484A551C" w14:textId="539F086C" w:rsidR="7A91ED8E" w:rsidRDefault="7A91ED8E">
      <w:r w:rsidRPr="6B3E84FA">
        <w:rPr>
          <w:rFonts w:ascii="Calibri" w:eastAsia="Calibri" w:hAnsi="Calibri" w:cs="Calibri"/>
          <w:sz w:val="24"/>
          <w:szCs w:val="24"/>
        </w:rPr>
        <w:t>*</w:t>
      </w:r>
      <w:r w:rsidR="3986184C" w:rsidRPr="6B3E84FA">
        <w:rPr>
          <w:rFonts w:ascii="Calibri" w:eastAsia="Calibri" w:hAnsi="Calibri" w:cs="Calibri"/>
          <w:sz w:val="24"/>
          <w:szCs w:val="24"/>
        </w:rPr>
        <w:t>While</w:t>
      </w:r>
      <w:r w:rsidRPr="6B3E84FA">
        <w:rPr>
          <w:rFonts w:ascii="Calibri" w:eastAsia="Calibri" w:hAnsi="Calibri" w:cs="Calibri"/>
          <w:sz w:val="24"/>
          <w:szCs w:val="24"/>
        </w:rPr>
        <w:t xml:space="preserve"> numbered here as in the Faculty Handbook, and for easy reference, the numbers listed above (and below) do not indicate any prioritization of these elements of Teaching Effectiveness. </w:t>
      </w:r>
    </w:p>
    <w:p w14:paraId="02C798E4" w14:textId="65011365" w:rsidR="7A91ED8E" w:rsidRDefault="7A91ED8E">
      <w:r w:rsidRPr="46A020A9">
        <w:rPr>
          <w:rFonts w:ascii="Calibri" w:eastAsia="Calibri" w:hAnsi="Calibri" w:cs="Calibri"/>
          <w:sz w:val="24"/>
          <w:szCs w:val="24"/>
        </w:rPr>
        <w:t xml:space="preserve"> </w:t>
      </w:r>
    </w:p>
    <w:p w14:paraId="0E890B14" w14:textId="3509A586" w:rsidR="7A91ED8E" w:rsidRDefault="7A91ED8E">
      <w:r w:rsidRPr="46A020A9">
        <w:rPr>
          <w:rFonts w:ascii="Calibri" w:eastAsia="Calibri" w:hAnsi="Calibri" w:cs="Calibri"/>
          <w:sz w:val="24"/>
          <w:szCs w:val="24"/>
        </w:rPr>
        <w:lastRenderedPageBreak/>
        <w:t>The Education Department highlights two additional areas where teaching effectiveness must be demonstrated among its faculty:</w:t>
      </w:r>
    </w:p>
    <w:p w14:paraId="48C824CE" w14:textId="355866BF" w:rsidR="7A91ED8E" w:rsidRDefault="7A91ED8E">
      <w:r w:rsidRPr="46A020A9">
        <w:rPr>
          <w:rFonts w:ascii="Calibri" w:eastAsia="Calibri" w:hAnsi="Calibri" w:cs="Calibri"/>
          <w:sz w:val="24"/>
          <w:szCs w:val="24"/>
        </w:rPr>
        <w:t xml:space="preserve"> </w:t>
      </w:r>
    </w:p>
    <w:p w14:paraId="3CE74677" w14:textId="5E214F20" w:rsidR="7A91ED8E" w:rsidRDefault="7A91ED8E">
      <w:r w:rsidRPr="46A020A9">
        <w:rPr>
          <w:rFonts w:ascii="Calibri" w:eastAsia="Calibri" w:hAnsi="Calibri" w:cs="Calibri"/>
          <w:sz w:val="24"/>
          <w:szCs w:val="24"/>
        </w:rPr>
        <w:t>10. Addressing Relevant Standards</w:t>
      </w:r>
    </w:p>
    <w:p w14:paraId="57F886DA" w14:textId="0A638C6B" w:rsidR="7A91ED8E" w:rsidRDefault="7A91ED8E">
      <w:r w:rsidRPr="666A0591">
        <w:rPr>
          <w:rFonts w:ascii="Calibri" w:eastAsia="Calibri" w:hAnsi="Calibri" w:cs="Calibri"/>
          <w:sz w:val="24"/>
          <w:szCs w:val="24"/>
        </w:rPr>
        <w:t>All Education faculty are expected to model and teach elements of relevant and discipline-specific standards including:</w:t>
      </w:r>
    </w:p>
    <w:p w14:paraId="56197633" w14:textId="29F7E9CE" w:rsidR="7A91ED8E" w:rsidRDefault="7A91ED8E" w:rsidP="00181FC3">
      <w:pPr>
        <w:pStyle w:val="ListParagraph"/>
        <w:numPr>
          <w:ilvl w:val="0"/>
          <w:numId w:val="15"/>
        </w:numPr>
        <w:rPr>
          <w:rFonts w:ascii="Calibri" w:eastAsia="Calibri" w:hAnsi="Calibri" w:cs="Calibri"/>
          <w:sz w:val="24"/>
          <w:szCs w:val="24"/>
          <w:vertAlign w:val="superscript"/>
        </w:rPr>
      </w:pPr>
      <w:r w:rsidRPr="3941B942">
        <w:rPr>
          <w:rFonts w:ascii="Calibri" w:eastAsia="Calibri" w:hAnsi="Calibri" w:cs="Calibri"/>
          <w:sz w:val="24"/>
          <w:szCs w:val="24"/>
        </w:rPr>
        <w:t>Teacher Standards and Practices Commission (</w:t>
      </w:r>
      <w:hyperlink r:id="rId11">
        <w:r w:rsidRPr="3941B942">
          <w:rPr>
            <w:rStyle w:val="Hyperlink"/>
            <w:rFonts w:ascii="Calibri" w:eastAsia="Calibri" w:hAnsi="Calibri" w:cs="Calibri"/>
            <w:sz w:val="24"/>
            <w:szCs w:val="24"/>
          </w:rPr>
          <w:t>TSPC</w:t>
        </w:r>
      </w:hyperlink>
      <w:r w:rsidRPr="3941B942">
        <w:rPr>
          <w:rFonts w:ascii="Calibri" w:eastAsia="Calibri" w:hAnsi="Calibri" w:cs="Calibri"/>
          <w:sz w:val="24"/>
          <w:szCs w:val="24"/>
        </w:rPr>
        <w:t>) Administrative Rules and Statu</w:t>
      </w:r>
      <w:r w:rsidR="5A643528" w:rsidRPr="3941B942">
        <w:rPr>
          <w:rFonts w:ascii="Calibri" w:eastAsia="Calibri" w:hAnsi="Calibri" w:cs="Calibri"/>
          <w:sz w:val="24"/>
          <w:szCs w:val="24"/>
        </w:rPr>
        <w:t>t</w:t>
      </w:r>
      <w:r w:rsidRPr="3941B942">
        <w:rPr>
          <w:rFonts w:ascii="Calibri" w:eastAsia="Calibri" w:hAnsi="Calibri" w:cs="Calibri"/>
          <w:sz w:val="24"/>
          <w:szCs w:val="24"/>
        </w:rPr>
        <w:t>es</w:t>
      </w:r>
    </w:p>
    <w:p w14:paraId="474529C8" w14:textId="6613D770" w:rsidR="7A91ED8E" w:rsidRDefault="42E2EB6E" w:rsidP="00181FC3">
      <w:pPr>
        <w:pStyle w:val="ListParagraph"/>
        <w:numPr>
          <w:ilvl w:val="0"/>
          <w:numId w:val="17"/>
        </w:numPr>
        <w:rPr>
          <w:rFonts w:ascii="Calibri" w:eastAsia="Calibri" w:hAnsi="Calibri" w:cs="Calibri"/>
          <w:sz w:val="24"/>
          <w:szCs w:val="24"/>
        </w:rPr>
      </w:pPr>
      <w:r w:rsidRPr="2FC4D52D">
        <w:rPr>
          <w:rFonts w:ascii="Calibri" w:eastAsia="Calibri" w:hAnsi="Calibri" w:cs="Calibri"/>
          <w:sz w:val="24"/>
          <w:szCs w:val="24"/>
        </w:rPr>
        <w:t>Interstate Teacher Assessment and Support Consortium (</w:t>
      </w:r>
      <w:hyperlink r:id="rId12">
        <w:r w:rsidRPr="2FC4D52D">
          <w:rPr>
            <w:rStyle w:val="Hyperlink"/>
            <w:rFonts w:ascii="Calibri" w:eastAsia="Calibri" w:hAnsi="Calibri" w:cs="Calibri"/>
            <w:sz w:val="24"/>
            <w:szCs w:val="24"/>
          </w:rPr>
          <w:t>InTASC</w:t>
        </w:r>
      </w:hyperlink>
      <w:r w:rsidRPr="2FC4D52D">
        <w:rPr>
          <w:rFonts w:ascii="Calibri" w:eastAsia="Calibri" w:hAnsi="Calibri" w:cs="Calibri"/>
          <w:sz w:val="24"/>
          <w:szCs w:val="24"/>
        </w:rPr>
        <w:t>)</w:t>
      </w:r>
      <w:r w:rsidR="2C2F8B54" w:rsidRPr="2FC4D52D">
        <w:rPr>
          <w:rFonts w:ascii="Calibri" w:eastAsia="Calibri" w:hAnsi="Calibri" w:cs="Calibri"/>
          <w:sz w:val="24"/>
          <w:szCs w:val="24"/>
        </w:rPr>
        <w:t xml:space="preserve"> </w:t>
      </w:r>
      <w:r w:rsidRPr="2FC4D52D">
        <w:rPr>
          <w:rFonts w:ascii="Calibri" w:eastAsia="Calibri" w:hAnsi="Calibri" w:cs="Calibri"/>
          <w:sz w:val="24"/>
          <w:szCs w:val="24"/>
        </w:rPr>
        <w:t>Standards</w:t>
      </w:r>
    </w:p>
    <w:p w14:paraId="5C9AC99C" w14:textId="7ADCAD30" w:rsidR="7A91ED8E" w:rsidRDefault="42E2EB6E" w:rsidP="00181FC3">
      <w:pPr>
        <w:pStyle w:val="ListParagraph"/>
        <w:numPr>
          <w:ilvl w:val="0"/>
          <w:numId w:val="17"/>
        </w:numPr>
        <w:rPr>
          <w:rFonts w:ascii="Calibri" w:eastAsia="Calibri" w:hAnsi="Calibri" w:cs="Calibri"/>
          <w:sz w:val="24"/>
          <w:szCs w:val="24"/>
        </w:rPr>
      </w:pPr>
      <w:r w:rsidRPr="2FC4D52D">
        <w:rPr>
          <w:rFonts w:ascii="Calibri" w:eastAsia="Calibri" w:hAnsi="Calibri" w:cs="Calibri"/>
          <w:sz w:val="24"/>
          <w:szCs w:val="24"/>
        </w:rPr>
        <w:t>Teaching English to Speakers of Other Languages (</w:t>
      </w:r>
      <w:hyperlink r:id="rId13">
        <w:r w:rsidRPr="2FC4D52D">
          <w:rPr>
            <w:rStyle w:val="Hyperlink"/>
            <w:rFonts w:ascii="Calibri" w:eastAsia="Calibri" w:hAnsi="Calibri" w:cs="Calibri"/>
            <w:sz w:val="24"/>
            <w:szCs w:val="24"/>
          </w:rPr>
          <w:t>TESOL</w:t>
        </w:r>
      </w:hyperlink>
      <w:r w:rsidRPr="2FC4D52D">
        <w:rPr>
          <w:rFonts w:ascii="Calibri" w:eastAsia="Calibri" w:hAnsi="Calibri" w:cs="Calibri"/>
          <w:sz w:val="24"/>
          <w:szCs w:val="24"/>
        </w:rPr>
        <w:t>) Standards</w:t>
      </w:r>
    </w:p>
    <w:p w14:paraId="4EA77D94" w14:textId="6B596E56" w:rsidR="7A91ED8E" w:rsidRDefault="6B9D8B05" w:rsidP="00181FC3">
      <w:pPr>
        <w:pStyle w:val="ListParagraph"/>
        <w:numPr>
          <w:ilvl w:val="0"/>
          <w:numId w:val="17"/>
        </w:numPr>
        <w:rPr>
          <w:rFonts w:ascii="Calibri" w:eastAsia="Calibri" w:hAnsi="Calibri" w:cs="Calibri"/>
          <w:sz w:val="24"/>
          <w:szCs w:val="24"/>
        </w:rPr>
      </w:pPr>
      <w:r w:rsidRPr="3941B942">
        <w:rPr>
          <w:rFonts w:ascii="Calibri" w:eastAsia="Calibri" w:hAnsi="Calibri" w:cs="Calibri"/>
          <w:sz w:val="24"/>
          <w:szCs w:val="24"/>
        </w:rPr>
        <w:t xml:space="preserve">Oregon Department of Education </w:t>
      </w:r>
      <w:r w:rsidR="7D418666" w:rsidRPr="3941B942">
        <w:rPr>
          <w:rFonts w:ascii="Calibri" w:eastAsia="Calibri" w:hAnsi="Calibri" w:cs="Calibri"/>
          <w:sz w:val="24"/>
          <w:szCs w:val="24"/>
        </w:rPr>
        <w:t>(</w:t>
      </w:r>
      <w:hyperlink r:id="rId14">
        <w:r w:rsidR="7D418666" w:rsidRPr="3941B942">
          <w:rPr>
            <w:rStyle w:val="Hyperlink"/>
            <w:rFonts w:ascii="Calibri" w:eastAsia="Calibri" w:hAnsi="Calibri" w:cs="Calibri"/>
            <w:sz w:val="24"/>
            <w:szCs w:val="24"/>
          </w:rPr>
          <w:t>ODE</w:t>
        </w:r>
      </w:hyperlink>
      <w:r w:rsidR="7D418666" w:rsidRPr="3941B942">
        <w:rPr>
          <w:rFonts w:ascii="Calibri" w:eastAsia="Calibri" w:hAnsi="Calibri" w:cs="Calibri"/>
          <w:sz w:val="24"/>
          <w:szCs w:val="24"/>
        </w:rPr>
        <w:t xml:space="preserve">) </w:t>
      </w:r>
      <w:r w:rsidR="74FB6AF7" w:rsidRPr="3941B942">
        <w:rPr>
          <w:rFonts w:ascii="Calibri" w:eastAsia="Calibri" w:hAnsi="Calibri" w:cs="Calibri"/>
          <w:sz w:val="24"/>
          <w:szCs w:val="24"/>
        </w:rPr>
        <w:t xml:space="preserve">Academic Content </w:t>
      </w:r>
      <w:r w:rsidRPr="3941B942">
        <w:rPr>
          <w:rFonts w:ascii="Calibri" w:eastAsia="Calibri" w:hAnsi="Calibri" w:cs="Calibri"/>
          <w:sz w:val="24"/>
          <w:szCs w:val="24"/>
        </w:rPr>
        <w:t xml:space="preserve">Standards such as </w:t>
      </w:r>
      <w:r w:rsidR="7C6C1A1F" w:rsidRPr="3941B942">
        <w:rPr>
          <w:rFonts w:ascii="Calibri" w:eastAsia="Calibri" w:hAnsi="Calibri" w:cs="Calibri"/>
          <w:sz w:val="24"/>
          <w:szCs w:val="24"/>
        </w:rPr>
        <w:t>Common Core State Standards</w:t>
      </w:r>
      <w:r w:rsidR="50814E4B" w:rsidRPr="3941B942">
        <w:rPr>
          <w:rFonts w:ascii="Calibri" w:eastAsia="Calibri" w:hAnsi="Calibri" w:cs="Calibri"/>
          <w:sz w:val="24"/>
          <w:szCs w:val="24"/>
        </w:rPr>
        <w:t>, Next Generation Science Standards</w:t>
      </w:r>
    </w:p>
    <w:p w14:paraId="7FCA5999" w14:textId="4D539445" w:rsidR="7A91ED8E" w:rsidRDefault="1ECC5478" w:rsidP="00181FC3">
      <w:pPr>
        <w:pStyle w:val="ListParagraph"/>
        <w:numPr>
          <w:ilvl w:val="0"/>
          <w:numId w:val="17"/>
        </w:numPr>
        <w:rPr>
          <w:rFonts w:ascii="Calibri" w:eastAsia="Calibri" w:hAnsi="Calibri" w:cs="Calibri"/>
          <w:sz w:val="24"/>
          <w:szCs w:val="24"/>
        </w:rPr>
      </w:pPr>
      <w:r w:rsidRPr="2FC4D52D">
        <w:rPr>
          <w:rFonts w:ascii="Calibri" w:eastAsia="Calibri" w:hAnsi="Calibri" w:cs="Calibri"/>
          <w:sz w:val="24"/>
          <w:szCs w:val="24"/>
        </w:rPr>
        <w:t>Council for Exceptional Children (</w:t>
      </w:r>
      <w:hyperlink r:id="rId15">
        <w:r w:rsidR="42E2EB6E" w:rsidRPr="2FC4D52D">
          <w:rPr>
            <w:rStyle w:val="Hyperlink"/>
            <w:rFonts w:ascii="Calibri" w:eastAsia="Calibri" w:hAnsi="Calibri" w:cs="Calibri"/>
            <w:sz w:val="24"/>
            <w:szCs w:val="24"/>
          </w:rPr>
          <w:t>CEC</w:t>
        </w:r>
        <w:r w:rsidR="503D6FB1" w:rsidRPr="2FC4D52D">
          <w:rPr>
            <w:rStyle w:val="Hyperlink"/>
            <w:rFonts w:ascii="Calibri" w:eastAsia="Calibri" w:hAnsi="Calibri" w:cs="Calibri"/>
            <w:sz w:val="24"/>
            <w:szCs w:val="24"/>
          </w:rPr>
          <w:t>)</w:t>
        </w:r>
      </w:hyperlink>
      <w:r w:rsidR="42E2EB6E" w:rsidRPr="2FC4D52D">
        <w:rPr>
          <w:rFonts w:ascii="Calibri" w:eastAsia="Calibri" w:hAnsi="Calibri" w:cs="Calibri"/>
          <w:sz w:val="24"/>
          <w:szCs w:val="24"/>
        </w:rPr>
        <w:t xml:space="preserve"> Initial Practice-Based Professional Preparation Standards for Special Educators</w:t>
      </w:r>
    </w:p>
    <w:p w14:paraId="66B5E22C" w14:textId="73C0A5E9" w:rsidR="42E2EB6E" w:rsidRDefault="42E2EB6E" w:rsidP="00181FC3">
      <w:pPr>
        <w:pStyle w:val="ListParagraph"/>
        <w:numPr>
          <w:ilvl w:val="0"/>
          <w:numId w:val="17"/>
        </w:numPr>
        <w:rPr>
          <w:rFonts w:ascii="Calibri" w:eastAsia="Calibri" w:hAnsi="Calibri" w:cs="Calibri"/>
          <w:sz w:val="24"/>
          <w:szCs w:val="24"/>
        </w:rPr>
      </w:pPr>
      <w:r w:rsidRPr="2FC4D52D">
        <w:rPr>
          <w:rFonts w:ascii="Calibri" w:eastAsia="Calibri" w:hAnsi="Calibri" w:cs="Calibri"/>
          <w:sz w:val="24"/>
          <w:szCs w:val="24"/>
        </w:rPr>
        <w:t xml:space="preserve">Linfield Education Department </w:t>
      </w:r>
      <w:hyperlink r:id="rId16">
        <w:r w:rsidR="409445B7" w:rsidRPr="2FC4D52D">
          <w:rPr>
            <w:rStyle w:val="Hyperlink"/>
            <w:rFonts w:ascii="Calibri" w:eastAsia="Calibri" w:hAnsi="Calibri" w:cs="Calibri"/>
            <w:sz w:val="24"/>
            <w:szCs w:val="24"/>
          </w:rPr>
          <w:t>Conceptual Framework</w:t>
        </w:r>
      </w:hyperlink>
      <w:r w:rsidR="0C695C32" w:rsidRPr="2FC4D52D">
        <w:rPr>
          <w:rFonts w:ascii="Calibri" w:eastAsia="Calibri" w:hAnsi="Calibri" w:cs="Calibri"/>
          <w:sz w:val="24"/>
          <w:szCs w:val="24"/>
        </w:rPr>
        <w:t>: Learning Theory &amp; Content Knowledge, Advocacy for All Learners, and Refection &amp; Action</w:t>
      </w:r>
    </w:p>
    <w:p w14:paraId="112A8D8D" w14:textId="21CA9310" w:rsidR="409445B7" w:rsidRDefault="409445B7" w:rsidP="00181FC3">
      <w:pPr>
        <w:pStyle w:val="ListParagraph"/>
        <w:numPr>
          <w:ilvl w:val="0"/>
          <w:numId w:val="17"/>
        </w:numPr>
        <w:rPr>
          <w:rFonts w:ascii="Calibri" w:eastAsia="Calibri" w:hAnsi="Calibri" w:cs="Calibri"/>
          <w:sz w:val="24"/>
          <w:szCs w:val="24"/>
        </w:rPr>
      </w:pPr>
      <w:r w:rsidRPr="1F1F22CC">
        <w:rPr>
          <w:rFonts w:ascii="Calibri" w:eastAsia="Calibri" w:hAnsi="Calibri" w:cs="Calibri"/>
          <w:sz w:val="24"/>
          <w:szCs w:val="24"/>
        </w:rPr>
        <w:t xml:space="preserve">Learning for Justice </w:t>
      </w:r>
      <w:hyperlink r:id="rId17">
        <w:r w:rsidRPr="1F1F22CC">
          <w:rPr>
            <w:rStyle w:val="Hyperlink"/>
            <w:rFonts w:ascii="Calibri" w:eastAsia="Calibri" w:hAnsi="Calibri" w:cs="Calibri"/>
            <w:sz w:val="24"/>
            <w:szCs w:val="24"/>
          </w:rPr>
          <w:t>Social Justice Standards</w:t>
        </w:r>
      </w:hyperlink>
    </w:p>
    <w:p w14:paraId="2B0BFCAF" w14:textId="41F4D3AE" w:rsidR="1F1F22CC" w:rsidRDefault="74DB5E0C" w:rsidP="00181FC3">
      <w:pPr>
        <w:pStyle w:val="ListParagraph"/>
        <w:numPr>
          <w:ilvl w:val="0"/>
          <w:numId w:val="17"/>
        </w:numPr>
        <w:rPr>
          <w:rFonts w:ascii="Calibri" w:eastAsia="Calibri" w:hAnsi="Calibri" w:cs="Calibri"/>
          <w:sz w:val="24"/>
          <w:szCs w:val="24"/>
        </w:rPr>
      </w:pPr>
      <w:r w:rsidRPr="3941B942">
        <w:rPr>
          <w:rFonts w:ascii="Calibri" w:eastAsia="Calibri" w:hAnsi="Calibri" w:cs="Calibri"/>
          <w:sz w:val="24"/>
          <w:szCs w:val="24"/>
        </w:rPr>
        <w:t xml:space="preserve">Social and Emotional </w:t>
      </w:r>
      <w:r w:rsidR="2BAAC861" w:rsidRPr="3941B942">
        <w:rPr>
          <w:rFonts w:ascii="Calibri" w:eastAsia="Calibri" w:hAnsi="Calibri" w:cs="Calibri"/>
          <w:sz w:val="24"/>
          <w:szCs w:val="24"/>
        </w:rPr>
        <w:t xml:space="preserve">Learning </w:t>
      </w:r>
      <w:r w:rsidRPr="3941B942">
        <w:rPr>
          <w:rFonts w:ascii="Calibri" w:eastAsia="Calibri" w:hAnsi="Calibri" w:cs="Calibri"/>
          <w:sz w:val="24"/>
          <w:szCs w:val="24"/>
        </w:rPr>
        <w:t>Standards (</w:t>
      </w:r>
      <w:hyperlink r:id="rId18">
        <w:r w:rsidRPr="3941B942">
          <w:rPr>
            <w:rStyle w:val="Hyperlink"/>
            <w:rFonts w:ascii="Calibri" w:eastAsia="Calibri" w:hAnsi="Calibri" w:cs="Calibri"/>
            <w:sz w:val="24"/>
            <w:szCs w:val="24"/>
          </w:rPr>
          <w:t>CASEL</w:t>
        </w:r>
      </w:hyperlink>
      <w:r w:rsidRPr="3941B942">
        <w:rPr>
          <w:rFonts w:ascii="Calibri" w:eastAsia="Calibri" w:hAnsi="Calibri" w:cs="Calibri"/>
          <w:sz w:val="24"/>
          <w:szCs w:val="24"/>
        </w:rPr>
        <w:t>)</w:t>
      </w:r>
    </w:p>
    <w:p w14:paraId="303645DC" w14:textId="1DFF0647" w:rsidR="4C2B8FA0" w:rsidRDefault="4C2B8FA0" w:rsidP="00181FC3">
      <w:pPr>
        <w:pStyle w:val="ListParagraph"/>
        <w:numPr>
          <w:ilvl w:val="0"/>
          <w:numId w:val="17"/>
        </w:numPr>
        <w:rPr>
          <w:rFonts w:ascii="Calibri" w:eastAsia="Calibri" w:hAnsi="Calibri" w:cs="Calibri"/>
          <w:sz w:val="24"/>
          <w:szCs w:val="24"/>
        </w:rPr>
      </w:pPr>
      <w:r w:rsidRPr="3941B942">
        <w:rPr>
          <w:rFonts w:ascii="Calibri" w:eastAsia="Calibri" w:hAnsi="Calibri" w:cs="Calibri"/>
          <w:sz w:val="24"/>
          <w:szCs w:val="24"/>
        </w:rPr>
        <w:t xml:space="preserve">Oregon Standards </w:t>
      </w:r>
      <w:r w:rsidR="70054BAC" w:rsidRPr="3941B942">
        <w:rPr>
          <w:rFonts w:ascii="Calibri" w:eastAsia="Calibri" w:hAnsi="Calibri" w:cs="Calibri"/>
          <w:sz w:val="24"/>
          <w:szCs w:val="24"/>
        </w:rPr>
        <w:t>on</w:t>
      </w:r>
      <w:r w:rsidRPr="3941B942">
        <w:rPr>
          <w:rFonts w:ascii="Calibri" w:eastAsia="Calibri" w:hAnsi="Calibri" w:cs="Calibri"/>
          <w:sz w:val="24"/>
          <w:szCs w:val="24"/>
        </w:rPr>
        <w:t xml:space="preserve"> Dyslexia</w:t>
      </w:r>
      <w:r w:rsidR="2EB4D702" w:rsidRPr="3941B942">
        <w:rPr>
          <w:rFonts w:ascii="Calibri" w:eastAsia="Calibri" w:hAnsi="Calibri" w:cs="Calibri"/>
          <w:sz w:val="24"/>
          <w:szCs w:val="24"/>
        </w:rPr>
        <w:t xml:space="preserve"> and Reading Difficulties</w:t>
      </w:r>
      <w:r w:rsidRPr="3941B942">
        <w:rPr>
          <w:rFonts w:ascii="Calibri" w:eastAsia="Calibri" w:hAnsi="Calibri" w:cs="Calibri"/>
          <w:sz w:val="24"/>
          <w:szCs w:val="24"/>
        </w:rPr>
        <w:t xml:space="preserve"> (</w:t>
      </w:r>
      <w:hyperlink r:id="rId19">
        <w:r w:rsidRPr="3941B942">
          <w:rPr>
            <w:rStyle w:val="Hyperlink"/>
            <w:rFonts w:ascii="Calibri" w:eastAsia="Calibri" w:hAnsi="Calibri" w:cs="Calibri"/>
            <w:sz w:val="24"/>
            <w:szCs w:val="24"/>
          </w:rPr>
          <w:t>OARS 584-420-0016</w:t>
        </w:r>
      </w:hyperlink>
      <w:r w:rsidRPr="3941B942">
        <w:rPr>
          <w:rFonts w:ascii="Calibri" w:eastAsia="Calibri" w:hAnsi="Calibri" w:cs="Calibri"/>
          <w:sz w:val="24"/>
          <w:szCs w:val="24"/>
        </w:rPr>
        <w:t>)</w:t>
      </w:r>
    </w:p>
    <w:p w14:paraId="415145CA" w14:textId="6617F41B" w:rsidR="28439A7A" w:rsidRDefault="28439A7A" w:rsidP="00181FC3">
      <w:pPr>
        <w:pStyle w:val="ListParagraph"/>
        <w:numPr>
          <w:ilvl w:val="0"/>
          <w:numId w:val="17"/>
        </w:numPr>
        <w:rPr>
          <w:rFonts w:ascii="Calibri" w:eastAsia="Calibri" w:hAnsi="Calibri" w:cs="Calibri"/>
          <w:sz w:val="24"/>
          <w:szCs w:val="24"/>
        </w:rPr>
      </w:pPr>
      <w:r w:rsidRPr="3941B942">
        <w:rPr>
          <w:rFonts w:ascii="Calibri" w:eastAsia="Calibri" w:hAnsi="Calibri" w:cs="Calibri"/>
          <w:sz w:val="24"/>
          <w:szCs w:val="24"/>
        </w:rPr>
        <w:t>Oregon Standards on Reading Instruction (</w:t>
      </w:r>
      <w:hyperlink r:id="rId20">
        <w:r w:rsidRPr="3941B942">
          <w:rPr>
            <w:rStyle w:val="Hyperlink"/>
            <w:rFonts w:ascii="Calibri" w:eastAsia="Calibri" w:hAnsi="Calibri" w:cs="Calibri"/>
            <w:sz w:val="24"/>
            <w:szCs w:val="24"/>
          </w:rPr>
          <w:t>OARS 584-420-0015</w:t>
        </w:r>
      </w:hyperlink>
      <w:r w:rsidRPr="3941B942">
        <w:rPr>
          <w:rFonts w:ascii="Calibri" w:eastAsia="Calibri" w:hAnsi="Calibri" w:cs="Calibri"/>
          <w:sz w:val="24"/>
          <w:szCs w:val="24"/>
        </w:rPr>
        <w:t>)</w:t>
      </w:r>
    </w:p>
    <w:p w14:paraId="149F48CF" w14:textId="4E5AB5CE" w:rsidR="7A91ED8E" w:rsidRDefault="7A91ED8E" w:rsidP="00181FC3">
      <w:pPr>
        <w:pStyle w:val="ListParagraph"/>
        <w:numPr>
          <w:ilvl w:val="0"/>
          <w:numId w:val="14"/>
        </w:numPr>
        <w:rPr>
          <w:rFonts w:ascii="Calibri" w:eastAsia="Calibri" w:hAnsi="Calibri" w:cs="Calibri"/>
          <w:sz w:val="24"/>
          <w:szCs w:val="24"/>
        </w:rPr>
      </w:pPr>
      <w:r w:rsidRPr="2FC4D52D">
        <w:rPr>
          <w:rFonts w:ascii="Calibri" w:eastAsia="Calibri" w:hAnsi="Calibri" w:cs="Calibri"/>
          <w:sz w:val="24"/>
          <w:szCs w:val="24"/>
        </w:rPr>
        <w:t xml:space="preserve">Linfield </w:t>
      </w:r>
      <w:r w:rsidR="565CE26A" w:rsidRPr="2FC4D52D">
        <w:rPr>
          <w:rFonts w:ascii="Calibri" w:eastAsia="Calibri" w:hAnsi="Calibri" w:cs="Calibri"/>
          <w:sz w:val="24"/>
          <w:szCs w:val="24"/>
        </w:rPr>
        <w:t xml:space="preserve">University </w:t>
      </w:r>
      <w:hyperlink r:id="rId21">
        <w:r w:rsidR="565CE26A" w:rsidRPr="2FC4D52D">
          <w:rPr>
            <w:rStyle w:val="Hyperlink"/>
            <w:rFonts w:ascii="Calibri" w:eastAsia="Calibri" w:hAnsi="Calibri" w:cs="Calibri"/>
            <w:sz w:val="24"/>
            <w:szCs w:val="24"/>
          </w:rPr>
          <w:t>Mission Statement</w:t>
        </w:r>
      </w:hyperlink>
    </w:p>
    <w:p w14:paraId="2CD4DC95" w14:textId="43EE2F1D" w:rsidR="7A91ED8E" w:rsidRDefault="2B81E41A" w:rsidP="6B29013E">
      <w:pPr>
        <w:rPr>
          <w:rFonts w:ascii="Calibri" w:eastAsia="Calibri" w:hAnsi="Calibri" w:cs="Calibri"/>
          <w:sz w:val="24"/>
          <w:szCs w:val="24"/>
        </w:rPr>
      </w:pPr>
      <w:r w:rsidRPr="666A0591">
        <w:rPr>
          <w:rFonts w:ascii="Calibri" w:eastAsia="Calibri" w:hAnsi="Calibri" w:cs="Calibri"/>
          <w:sz w:val="24"/>
          <w:szCs w:val="24"/>
        </w:rPr>
        <w:t xml:space="preserve">Evidence of how these standards </w:t>
      </w:r>
      <w:bookmarkStart w:id="10" w:name="_Int_oAkXCwy5"/>
      <w:r w:rsidRPr="666A0591">
        <w:rPr>
          <w:rFonts w:ascii="Calibri" w:eastAsia="Calibri" w:hAnsi="Calibri" w:cs="Calibri"/>
          <w:sz w:val="24"/>
          <w:szCs w:val="24"/>
        </w:rPr>
        <w:t>are</w:t>
      </w:r>
      <w:bookmarkEnd w:id="10"/>
      <w:r w:rsidRPr="666A0591">
        <w:rPr>
          <w:rFonts w:ascii="Calibri" w:eastAsia="Calibri" w:hAnsi="Calibri" w:cs="Calibri"/>
          <w:sz w:val="24"/>
          <w:szCs w:val="24"/>
        </w:rPr>
        <w:t xml:space="preserve"> taught and assessed </w:t>
      </w:r>
      <w:r w:rsidR="23DBD9D3" w:rsidRPr="666A0591">
        <w:rPr>
          <w:rFonts w:ascii="Calibri" w:eastAsia="Calibri" w:hAnsi="Calibri" w:cs="Calibri"/>
          <w:sz w:val="24"/>
          <w:szCs w:val="24"/>
        </w:rPr>
        <w:t>should</w:t>
      </w:r>
      <w:r w:rsidRPr="666A0591">
        <w:rPr>
          <w:rFonts w:ascii="Calibri" w:eastAsia="Calibri" w:hAnsi="Calibri" w:cs="Calibri"/>
          <w:sz w:val="24"/>
          <w:szCs w:val="24"/>
        </w:rPr>
        <w:t xml:space="preserve"> be found in all Education Department syllabi. Courses and course materials must be carefully aligned to meet our program goals and accreditation requirements. Attention to this careful alignment also helps to prepare students for required licensure exams and assessments. </w:t>
      </w:r>
    </w:p>
    <w:p w14:paraId="7D546467" w14:textId="4C4D84F3" w:rsidR="7A91ED8E" w:rsidRDefault="7A91ED8E">
      <w:r w:rsidRPr="46A020A9">
        <w:rPr>
          <w:rFonts w:ascii="Calibri" w:eastAsia="Calibri" w:hAnsi="Calibri" w:cs="Calibri"/>
          <w:sz w:val="24"/>
          <w:szCs w:val="24"/>
        </w:rPr>
        <w:t xml:space="preserve"> </w:t>
      </w:r>
    </w:p>
    <w:p w14:paraId="51EA51D0" w14:textId="6B7AD41B" w:rsidR="7A91ED8E" w:rsidRDefault="7A91ED8E">
      <w:r w:rsidRPr="46A020A9">
        <w:rPr>
          <w:rFonts w:ascii="Calibri" w:eastAsia="Calibri" w:hAnsi="Calibri" w:cs="Calibri"/>
          <w:sz w:val="24"/>
          <w:szCs w:val="24"/>
        </w:rPr>
        <w:t>11. Advising and Consultation with Students</w:t>
      </w:r>
    </w:p>
    <w:p w14:paraId="30965A7B" w14:textId="4746C32F" w:rsidR="7A91ED8E" w:rsidRDefault="2B81E41A" w:rsidP="6B3E84FA">
      <w:pPr>
        <w:rPr>
          <w:rFonts w:ascii="Calibri" w:eastAsia="Calibri" w:hAnsi="Calibri" w:cs="Calibri"/>
          <w:sz w:val="24"/>
          <w:szCs w:val="24"/>
        </w:rPr>
      </w:pPr>
      <w:r w:rsidRPr="666A0591">
        <w:rPr>
          <w:rFonts w:ascii="Calibri" w:eastAsia="Calibri" w:hAnsi="Calibri" w:cs="Calibri"/>
          <w:sz w:val="24"/>
          <w:szCs w:val="24"/>
        </w:rPr>
        <w:t xml:space="preserve">Expanding on areas 8 and 9 above, the Education Department expects its </w:t>
      </w:r>
      <w:r w:rsidR="6130E0A8" w:rsidRPr="666A0591">
        <w:rPr>
          <w:rFonts w:ascii="Calibri" w:eastAsia="Calibri" w:hAnsi="Calibri" w:cs="Calibri"/>
          <w:sz w:val="24"/>
          <w:szCs w:val="24"/>
        </w:rPr>
        <w:t xml:space="preserve">faculty </w:t>
      </w:r>
      <w:r w:rsidRPr="666A0591">
        <w:rPr>
          <w:rFonts w:ascii="Calibri" w:eastAsia="Calibri" w:hAnsi="Calibri" w:cs="Calibri"/>
          <w:sz w:val="24"/>
          <w:szCs w:val="24"/>
        </w:rPr>
        <w:t xml:space="preserve">members to be engaged in academic advising, which can be time and labor intensive due to program and licensure requirements. Consistent, proactive student advising is a hallmark of the Teacher Education Program at Linfield, and a highly valued responsibility of faculty. In addition to academic advising that supports students to meet Linfield University requirements, Education faculty help students to navigate scheduling challenges </w:t>
      </w:r>
      <w:r w:rsidR="4EEAB47C" w:rsidRPr="666A0591">
        <w:rPr>
          <w:rFonts w:ascii="Calibri" w:eastAsia="Calibri" w:hAnsi="Calibri" w:cs="Calibri"/>
          <w:sz w:val="24"/>
          <w:szCs w:val="24"/>
        </w:rPr>
        <w:t>dictated by</w:t>
      </w:r>
      <w:r w:rsidRPr="666A0591">
        <w:rPr>
          <w:rFonts w:ascii="Calibri" w:eastAsia="Calibri" w:hAnsi="Calibri" w:cs="Calibri"/>
          <w:sz w:val="24"/>
          <w:szCs w:val="24"/>
        </w:rPr>
        <w:t xml:space="preserve"> time sensitive requirements </w:t>
      </w:r>
      <w:r w:rsidR="7DD7273D" w:rsidRPr="666A0591">
        <w:rPr>
          <w:rFonts w:ascii="Calibri" w:eastAsia="Calibri" w:hAnsi="Calibri" w:cs="Calibri"/>
          <w:sz w:val="24"/>
          <w:szCs w:val="24"/>
        </w:rPr>
        <w:t>related to</w:t>
      </w:r>
      <w:r w:rsidRPr="666A0591">
        <w:rPr>
          <w:rFonts w:ascii="Calibri" w:eastAsia="Calibri" w:hAnsi="Calibri" w:cs="Calibri"/>
          <w:sz w:val="24"/>
          <w:szCs w:val="24"/>
        </w:rPr>
        <w:t xml:space="preserve"> student teaching like fingerprinting, background checks</w:t>
      </w:r>
      <w:r w:rsidR="0AFE1BF1" w:rsidRPr="666A0591">
        <w:rPr>
          <w:rFonts w:ascii="Calibri" w:eastAsia="Calibri" w:hAnsi="Calibri" w:cs="Calibri"/>
          <w:sz w:val="24"/>
          <w:szCs w:val="24"/>
        </w:rPr>
        <w:t xml:space="preserve">, </w:t>
      </w:r>
      <w:r w:rsidRPr="666A0591">
        <w:rPr>
          <w:rFonts w:ascii="Calibri" w:eastAsia="Calibri" w:hAnsi="Calibri" w:cs="Calibri"/>
          <w:sz w:val="24"/>
          <w:szCs w:val="24"/>
        </w:rPr>
        <w:t>passing National Evaluation Series (</w:t>
      </w:r>
      <w:hyperlink r:id="rId22">
        <w:r w:rsidRPr="666A0591">
          <w:rPr>
            <w:rStyle w:val="Hyperlink"/>
            <w:rFonts w:ascii="Calibri" w:eastAsia="Calibri" w:hAnsi="Calibri" w:cs="Calibri"/>
            <w:sz w:val="24"/>
            <w:szCs w:val="24"/>
          </w:rPr>
          <w:t>NES</w:t>
        </w:r>
      </w:hyperlink>
      <w:r w:rsidRPr="666A0591">
        <w:rPr>
          <w:rFonts w:ascii="Calibri" w:eastAsia="Calibri" w:hAnsi="Calibri" w:cs="Calibri"/>
          <w:sz w:val="24"/>
          <w:szCs w:val="24"/>
        </w:rPr>
        <w:t>) standardized tests</w:t>
      </w:r>
      <w:r w:rsidR="27C32C61" w:rsidRPr="666A0591">
        <w:rPr>
          <w:rFonts w:ascii="Calibri" w:eastAsia="Calibri" w:hAnsi="Calibri" w:cs="Calibri"/>
          <w:sz w:val="24"/>
          <w:szCs w:val="24"/>
        </w:rPr>
        <w:t xml:space="preserve">, </w:t>
      </w:r>
      <w:r w:rsidR="5227AE2B" w:rsidRPr="666A0591">
        <w:rPr>
          <w:rFonts w:ascii="Calibri" w:eastAsia="Calibri" w:hAnsi="Calibri" w:cs="Calibri"/>
          <w:sz w:val="24"/>
          <w:szCs w:val="24"/>
        </w:rPr>
        <w:t xml:space="preserve">and other assessments for </w:t>
      </w:r>
      <w:r w:rsidR="3684C3C4" w:rsidRPr="666A0591">
        <w:rPr>
          <w:rFonts w:ascii="Calibri" w:eastAsia="Calibri" w:hAnsi="Calibri" w:cs="Calibri"/>
          <w:sz w:val="24"/>
          <w:szCs w:val="24"/>
        </w:rPr>
        <w:t xml:space="preserve">teacher </w:t>
      </w:r>
      <w:r w:rsidR="5227AE2B" w:rsidRPr="666A0591">
        <w:rPr>
          <w:rFonts w:ascii="Calibri" w:eastAsia="Calibri" w:hAnsi="Calibri" w:cs="Calibri"/>
          <w:sz w:val="24"/>
          <w:szCs w:val="24"/>
        </w:rPr>
        <w:t>licensure</w:t>
      </w:r>
      <w:r w:rsidRPr="666A0591">
        <w:rPr>
          <w:rFonts w:ascii="Calibri" w:eastAsia="Calibri" w:hAnsi="Calibri" w:cs="Calibri"/>
          <w:sz w:val="24"/>
          <w:szCs w:val="24"/>
        </w:rPr>
        <w:t xml:space="preserve">. </w:t>
      </w:r>
      <w:bookmarkStart w:id="11" w:name="_Int_d84BwJgT"/>
      <w:r w:rsidRPr="666A0591">
        <w:rPr>
          <w:rFonts w:ascii="Calibri" w:eastAsia="Calibri" w:hAnsi="Calibri" w:cs="Calibri"/>
          <w:sz w:val="24"/>
          <w:szCs w:val="24"/>
        </w:rPr>
        <w:t>Education</w:t>
      </w:r>
      <w:bookmarkEnd w:id="11"/>
      <w:r w:rsidRPr="666A0591">
        <w:rPr>
          <w:rFonts w:ascii="Calibri" w:eastAsia="Calibri" w:hAnsi="Calibri" w:cs="Calibri"/>
          <w:sz w:val="24"/>
          <w:szCs w:val="24"/>
        </w:rPr>
        <w:t xml:space="preserve"> students spend their entire senior year engaged in student</w:t>
      </w:r>
      <w:r w:rsidR="0BF0835B" w:rsidRPr="666A0591">
        <w:rPr>
          <w:rFonts w:ascii="Calibri" w:eastAsia="Calibri" w:hAnsi="Calibri" w:cs="Calibri"/>
          <w:sz w:val="24"/>
          <w:szCs w:val="24"/>
        </w:rPr>
        <w:t>-</w:t>
      </w:r>
      <w:r w:rsidRPr="666A0591">
        <w:rPr>
          <w:rFonts w:ascii="Calibri" w:eastAsia="Calibri" w:hAnsi="Calibri" w:cs="Calibri"/>
          <w:sz w:val="24"/>
          <w:szCs w:val="24"/>
        </w:rPr>
        <w:t xml:space="preserve">teaching experiences, so all other </w:t>
      </w:r>
      <w:r w:rsidRPr="666A0591">
        <w:rPr>
          <w:rFonts w:ascii="Calibri" w:eastAsia="Calibri" w:hAnsi="Calibri" w:cs="Calibri"/>
          <w:sz w:val="24"/>
          <w:szCs w:val="24"/>
        </w:rPr>
        <w:lastRenderedPageBreak/>
        <w:t>classes and extracurriculars (</w:t>
      </w:r>
      <w:r w:rsidR="3FC7D182" w:rsidRPr="666A0591">
        <w:rPr>
          <w:rFonts w:ascii="Calibri" w:eastAsia="Calibri" w:hAnsi="Calibri" w:cs="Calibri"/>
          <w:sz w:val="24"/>
          <w:szCs w:val="24"/>
        </w:rPr>
        <w:t>e.g.,</w:t>
      </w:r>
      <w:r w:rsidRPr="666A0591">
        <w:rPr>
          <w:rFonts w:ascii="Calibri" w:eastAsia="Calibri" w:hAnsi="Calibri" w:cs="Calibri"/>
          <w:sz w:val="24"/>
          <w:szCs w:val="24"/>
        </w:rPr>
        <w:t xml:space="preserve"> athletics, study abroad) must be carefully planned around student</w:t>
      </w:r>
      <w:r w:rsidR="1B85805B" w:rsidRPr="666A0591">
        <w:rPr>
          <w:rFonts w:ascii="Calibri" w:eastAsia="Calibri" w:hAnsi="Calibri" w:cs="Calibri"/>
          <w:sz w:val="24"/>
          <w:szCs w:val="24"/>
        </w:rPr>
        <w:t>-</w:t>
      </w:r>
      <w:r w:rsidRPr="666A0591">
        <w:rPr>
          <w:rFonts w:ascii="Calibri" w:eastAsia="Calibri" w:hAnsi="Calibri" w:cs="Calibri"/>
          <w:sz w:val="24"/>
          <w:szCs w:val="24"/>
        </w:rPr>
        <w:t xml:space="preserve">teaching through highly personalized advising.  </w:t>
      </w:r>
    </w:p>
    <w:p w14:paraId="7E39D7C6" w14:textId="1792830D" w:rsidR="7A91ED8E" w:rsidRDefault="7A91ED8E" w:rsidP="34D58E8A">
      <w:r w:rsidRPr="2FC4D52D">
        <w:rPr>
          <w:rFonts w:ascii="Calibri" w:eastAsia="Calibri" w:hAnsi="Calibri" w:cs="Calibri"/>
          <w:sz w:val="24"/>
          <w:szCs w:val="24"/>
        </w:rPr>
        <w:t xml:space="preserve"> </w:t>
      </w:r>
    </w:p>
    <w:p w14:paraId="3F3910FF" w14:textId="5A57D058" w:rsidR="7A91ED8E" w:rsidRDefault="6C60EC1D" w:rsidP="2FC4D52D">
      <w:pPr>
        <w:pStyle w:val="Heading2"/>
      </w:pPr>
      <w:bookmarkStart w:id="12" w:name="_Toc924273242"/>
      <w:r>
        <w:t>3.A Promotion and Tenure Criteria: Teaching Effectiveness</w:t>
      </w:r>
      <w:bookmarkEnd w:id="12"/>
    </w:p>
    <w:p w14:paraId="41CD7BD8" w14:textId="71D53EB9" w:rsidR="7A91ED8E" w:rsidRDefault="6C60EC1D" w:rsidP="34D58E8A">
      <w:r w:rsidRPr="2FC4D52D">
        <w:rPr>
          <w:rFonts w:ascii="Calibri" w:eastAsia="Calibri" w:hAnsi="Calibri" w:cs="Calibri"/>
          <w:sz w:val="24"/>
          <w:szCs w:val="24"/>
        </w:rPr>
        <w:t xml:space="preserve"> </w:t>
      </w:r>
    </w:p>
    <w:p w14:paraId="44CA3330" w14:textId="442F0F1F" w:rsidR="7A91ED8E" w:rsidRDefault="6C60EC1D" w:rsidP="34D58E8A">
      <w:r w:rsidRPr="2FC4D52D">
        <w:rPr>
          <w:rFonts w:ascii="Calibri" w:eastAsia="Calibri" w:hAnsi="Calibri" w:cs="Calibri"/>
          <w:sz w:val="24"/>
          <w:szCs w:val="24"/>
          <w:u w:val="single"/>
        </w:rPr>
        <w:t>Promotion to Associate Professor</w:t>
      </w:r>
    </w:p>
    <w:p w14:paraId="141F901B" w14:textId="59B19DA5" w:rsidR="7A91ED8E" w:rsidRDefault="6C60EC1D" w:rsidP="2FC4D52D">
      <w:pPr>
        <w:rPr>
          <w:rFonts w:ascii="Calibri" w:eastAsia="Calibri" w:hAnsi="Calibri" w:cs="Calibri"/>
          <w:sz w:val="24"/>
          <w:szCs w:val="24"/>
        </w:rPr>
      </w:pPr>
      <w:r w:rsidRPr="1F1F22CC">
        <w:rPr>
          <w:rFonts w:ascii="Calibri" w:eastAsia="Calibri" w:hAnsi="Calibri" w:cs="Calibri"/>
          <w:sz w:val="24"/>
          <w:szCs w:val="24"/>
        </w:rPr>
        <w:t>Candidates for promotion to Associate Professor should have demonstrated a positive trajectory of teaching effectiveness that is based upon thoughtful reflection and assessment of their teaching inside and outside of the classroom. Candidates will be able to show evidence of a majority of the teaching effectiveness areas listed above</w:t>
      </w:r>
      <w:r w:rsidR="41165646" w:rsidRPr="1F1F22CC">
        <w:rPr>
          <w:rFonts w:ascii="Calibri" w:eastAsia="Calibri" w:hAnsi="Calibri" w:cs="Calibri"/>
          <w:sz w:val="24"/>
          <w:szCs w:val="24"/>
        </w:rPr>
        <w:t xml:space="preserve"> (nine from the Faculty Handbook and </w:t>
      </w:r>
      <w:r w:rsidR="1CEF7CEA" w:rsidRPr="1F1F22CC">
        <w:rPr>
          <w:rFonts w:ascii="Calibri" w:eastAsia="Calibri" w:hAnsi="Calibri" w:cs="Calibri"/>
          <w:sz w:val="24"/>
          <w:szCs w:val="24"/>
        </w:rPr>
        <w:t xml:space="preserve">two </w:t>
      </w:r>
      <w:r w:rsidR="41165646" w:rsidRPr="1F1F22CC">
        <w:rPr>
          <w:rFonts w:ascii="Calibri" w:eastAsia="Calibri" w:hAnsi="Calibri" w:cs="Calibri"/>
          <w:sz w:val="24"/>
          <w:szCs w:val="24"/>
        </w:rPr>
        <w:t>department-specific for a total of 11)</w:t>
      </w:r>
      <w:r w:rsidRPr="1F1F22CC">
        <w:rPr>
          <w:rFonts w:ascii="Calibri" w:eastAsia="Calibri" w:hAnsi="Calibri" w:cs="Calibri"/>
          <w:sz w:val="24"/>
          <w:szCs w:val="24"/>
        </w:rPr>
        <w:t>. Candidates are expected to have begun making contributions beyond their own classes to the broader curricular and programmatic needs of the department.</w:t>
      </w:r>
    </w:p>
    <w:p w14:paraId="60C70693" w14:textId="7A987491" w:rsidR="7A91ED8E" w:rsidRDefault="6C60EC1D" w:rsidP="34D58E8A">
      <w:r w:rsidRPr="2FC4D52D">
        <w:rPr>
          <w:rFonts w:ascii="Calibri" w:eastAsia="Calibri" w:hAnsi="Calibri" w:cs="Calibri"/>
          <w:sz w:val="24"/>
          <w:szCs w:val="24"/>
        </w:rPr>
        <w:t xml:space="preserve"> </w:t>
      </w:r>
    </w:p>
    <w:p w14:paraId="78245EB9" w14:textId="16C1C111" w:rsidR="7A91ED8E" w:rsidRDefault="6C60EC1D" w:rsidP="34D58E8A">
      <w:r w:rsidRPr="2FC4D52D">
        <w:rPr>
          <w:rFonts w:ascii="Calibri" w:eastAsia="Calibri" w:hAnsi="Calibri" w:cs="Calibri"/>
          <w:sz w:val="24"/>
          <w:szCs w:val="24"/>
          <w:u w:val="single"/>
        </w:rPr>
        <w:t>Promotion to Professor</w:t>
      </w:r>
    </w:p>
    <w:p w14:paraId="09849A02" w14:textId="3B845C1D" w:rsidR="7A91ED8E" w:rsidRDefault="40835341" w:rsidP="34D58E8A">
      <w:r w:rsidRPr="666A0591">
        <w:rPr>
          <w:rFonts w:ascii="Calibri" w:eastAsia="Calibri" w:hAnsi="Calibri" w:cs="Calibri"/>
          <w:sz w:val="24"/>
          <w:szCs w:val="24"/>
        </w:rPr>
        <w:t>As faculty in the department are encouraged to find and pursue their own style and pedagogical techniques as part of their professional identity, special merit in the area of teaching effectiveness can manifest itself in a variety of ways. Demonstrating special merit in teaching effectiveness generally extends beyond one’s own classroom practices and shows a significant positive impact within the Linfield community and perhaps beyond. Examples may include:</w:t>
      </w:r>
    </w:p>
    <w:p w14:paraId="3B28A7B1" w14:textId="68F0219E" w:rsidR="7A91ED8E" w:rsidRDefault="6C60EC1D" w:rsidP="00181FC3">
      <w:pPr>
        <w:pStyle w:val="ListParagraph"/>
        <w:numPr>
          <w:ilvl w:val="0"/>
          <w:numId w:val="13"/>
        </w:numPr>
        <w:rPr>
          <w:rFonts w:ascii="Calibri" w:eastAsia="Calibri" w:hAnsi="Calibri" w:cs="Calibri"/>
          <w:sz w:val="24"/>
          <w:szCs w:val="24"/>
        </w:rPr>
      </w:pPr>
      <w:r w:rsidRPr="1F1F22CC">
        <w:rPr>
          <w:rFonts w:ascii="Calibri" w:eastAsia="Calibri" w:hAnsi="Calibri" w:cs="Calibri"/>
          <w:sz w:val="24"/>
          <w:szCs w:val="24"/>
        </w:rPr>
        <w:t xml:space="preserve">Consistent evidence addressing all teaching effectiveness areas </w:t>
      </w:r>
      <w:r w:rsidR="552DCBB7" w:rsidRPr="1F1F22CC">
        <w:rPr>
          <w:rFonts w:ascii="Calibri" w:eastAsia="Calibri" w:hAnsi="Calibri" w:cs="Calibri"/>
          <w:sz w:val="24"/>
          <w:szCs w:val="24"/>
        </w:rPr>
        <w:t>(nine from the Faculty Handbook and two department-specific for a total of 11)</w:t>
      </w:r>
    </w:p>
    <w:p w14:paraId="598CD02E" w14:textId="24D42327" w:rsidR="7A91ED8E" w:rsidRDefault="6C60EC1D" w:rsidP="00181FC3">
      <w:pPr>
        <w:pStyle w:val="ListParagraph"/>
        <w:numPr>
          <w:ilvl w:val="0"/>
          <w:numId w:val="13"/>
        </w:numPr>
        <w:rPr>
          <w:rFonts w:ascii="Calibri" w:eastAsia="Calibri" w:hAnsi="Calibri" w:cs="Calibri"/>
          <w:sz w:val="24"/>
          <w:szCs w:val="24"/>
        </w:rPr>
      </w:pPr>
      <w:r w:rsidRPr="666A0591">
        <w:rPr>
          <w:rFonts w:ascii="Calibri" w:eastAsia="Calibri" w:hAnsi="Calibri" w:cs="Calibri"/>
          <w:sz w:val="24"/>
          <w:szCs w:val="24"/>
        </w:rPr>
        <w:t>Significant contribution to the curriculum (</w:t>
      </w:r>
      <w:r w:rsidR="76ED5329" w:rsidRPr="666A0591">
        <w:rPr>
          <w:rFonts w:ascii="Calibri" w:eastAsia="Calibri" w:hAnsi="Calibri" w:cs="Calibri"/>
          <w:sz w:val="24"/>
          <w:szCs w:val="24"/>
        </w:rPr>
        <w:t>e.g.,</w:t>
      </w:r>
      <w:r w:rsidRPr="666A0591">
        <w:rPr>
          <w:rFonts w:ascii="Calibri" w:eastAsia="Calibri" w:hAnsi="Calibri" w:cs="Calibri"/>
          <w:sz w:val="24"/>
          <w:szCs w:val="24"/>
        </w:rPr>
        <w:t xml:space="preserve"> off-campus course development, teaching INQS, developing new courses for the Education program curriculum)</w:t>
      </w:r>
    </w:p>
    <w:p w14:paraId="1AAC62D4" w14:textId="68C425C7" w:rsidR="7A91ED8E" w:rsidRDefault="6C60EC1D" w:rsidP="00181FC3">
      <w:pPr>
        <w:pStyle w:val="ListParagraph"/>
        <w:numPr>
          <w:ilvl w:val="0"/>
          <w:numId w:val="13"/>
        </w:numPr>
        <w:rPr>
          <w:rFonts w:ascii="Calibri" w:eastAsia="Calibri" w:hAnsi="Calibri" w:cs="Calibri"/>
          <w:sz w:val="24"/>
          <w:szCs w:val="24"/>
        </w:rPr>
      </w:pPr>
      <w:r w:rsidRPr="1F1F22CC">
        <w:rPr>
          <w:rFonts w:ascii="Calibri" w:eastAsia="Calibri" w:hAnsi="Calibri" w:cs="Calibri"/>
          <w:sz w:val="24"/>
          <w:szCs w:val="24"/>
        </w:rPr>
        <w:t xml:space="preserve">Collaboration with colleagues on multi-section courses </w:t>
      </w:r>
      <w:r w:rsidR="0204EEE7" w:rsidRPr="1F1F22CC">
        <w:rPr>
          <w:rFonts w:ascii="Calibri" w:eastAsia="Calibri" w:hAnsi="Calibri" w:cs="Calibri"/>
          <w:sz w:val="24"/>
          <w:szCs w:val="24"/>
        </w:rPr>
        <w:t xml:space="preserve">and across program curriculum </w:t>
      </w:r>
      <w:r w:rsidRPr="1F1F22CC">
        <w:rPr>
          <w:rFonts w:ascii="Calibri" w:eastAsia="Calibri" w:hAnsi="Calibri" w:cs="Calibri"/>
          <w:sz w:val="24"/>
          <w:szCs w:val="24"/>
        </w:rPr>
        <w:t>including strong communication</w:t>
      </w:r>
      <w:r w:rsidR="6157617F" w:rsidRPr="1F1F22CC">
        <w:rPr>
          <w:rFonts w:ascii="Calibri" w:eastAsia="Calibri" w:hAnsi="Calibri" w:cs="Calibri"/>
          <w:sz w:val="24"/>
          <w:szCs w:val="24"/>
        </w:rPr>
        <w:t>, consistent terminology</w:t>
      </w:r>
      <w:r w:rsidRPr="1F1F22CC">
        <w:rPr>
          <w:rFonts w:ascii="Calibri" w:eastAsia="Calibri" w:hAnsi="Calibri" w:cs="Calibri"/>
          <w:sz w:val="24"/>
          <w:szCs w:val="24"/>
        </w:rPr>
        <w:t xml:space="preserve"> and resource-sharing</w:t>
      </w:r>
    </w:p>
    <w:p w14:paraId="3664BD03" w14:textId="3DA48259" w:rsidR="7A91ED8E" w:rsidRDefault="6C60EC1D" w:rsidP="00181FC3">
      <w:pPr>
        <w:pStyle w:val="ListParagraph"/>
        <w:numPr>
          <w:ilvl w:val="0"/>
          <w:numId w:val="13"/>
        </w:numPr>
        <w:rPr>
          <w:rFonts w:ascii="Calibri" w:eastAsia="Calibri" w:hAnsi="Calibri" w:cs="Calibri"/>
          <w:sz w:val="24"/>
          <w:szCs w:val="24"/>
        </w:rPr>
      </w:pPr>
      <w:r w:rsidRPr="2AF949AA">
        <w:rPr>
          <w:rFonts w:ascii="Calibri" w:eastAsia="Calibri" w:hAnsi="Calibri" w:cs="Calibri"/>
          <w:sz w:val="24"/>
          <w:szCs w:val="24"/>
        </w:rPr>
        <w:t>Significant redesign of established courses with respect to content, pedagogy, alignment with new standards</w:t>
      </w:r>
    </w:p>
    <w:p w14:paraId="20947CAB" w14:textId="6F4AE719" w:rsidR="7A91ED8E" w:rsidRDefault="6C60EC1D" w:rsidP="00181FC3">
      <w:pPr>
        <w:pStyle w:val="ListParagraph"/>
        <w:numPr>
          <w:ilvl w:val="0"/>
          <w:numId w:val="13"/>
        </w:numPr>
        <w:rPr>
          <w:rFonts w:ascii="Calibri" w:eastAsia="Calibri" w:hAnsi="Calibri" w:cs="Calibri"/>
          <w:sz w:val="24"/>
          <w:szCs w:val="24"/>
        </w:rPr>
      </w:pPr>
      <w:r w:rsidRPr="2AF949AA">
        <w:rPr>
          <w:rFonts w:ascii="Calibri" w:eastAsia="Calibri" w:hAnsi="Calibri" w:cs="Calibri"/>
          <w:sz w:val="24"/>
          <w:szCs w:val="24"/>
        </w:rPr>
        <w:t>Mentoring colleagues, adjuncts, university supervisors to develop their instructional abilities</w:t>
      </w:r>
    </w:p>
    <w:p w14:paraId="4E147B12" w14:textId="4B83FF36" w:rsidR="7A91ED8E" w:rsidRDefault="6C60EC1D" w:rsidP="00181FC3">
      <w:pPr>
        <w:pStyle w:val="ListParagraph"/>
        <w:numPr>
          <w:ilvl w:val="0"/>
          <w:numId w:val="13"/>
        </w:numPr>
        <w:rPr>
          <w:rFonts w:ascii="Calibri" w:eastAsia="Calibri" w:hAnsi="Calibri" w:cs="Calibri"/>
          <w:sz w:val="24"/>
          <w:szCs w:val="24"/>
        </w:rPr>
      </w:pPr>
      <w:r w:rsidRPr="2AF949AA">
        <w:rPr>
          <w:rFonts w:ascii="Calibri" w:eastAsia="Calibri" w:hAnsi="Calibri" w:cs="Calibri"/>
          <w:sz w:val="24"/>
          <w:szCs w:val="24"/>
        </w:rPr>
        <w:t>Providing leadership in program-wide curriculum design and delivery</w:t>
      </w:r>
    </w:p>
    <w:p w14:paraId="743A4E5D" w14:textId="5348F086" w:rsidR="7A91ED8E" w:rsidRDefault="6C60EC1D" w:rsidP="00181FC3">
      <w:pPr>
        <w:pStyle w:val="ListParagraph"/>
        <w:numPr>
          <w:ilvl w:val="0"/>
          <w:numId w:val="13"/>
        </w:numPr>
        <w:rPr>
          <w:rFonts w:ascii="Calibri" w:eastAsia="Calibri" w:hAnsi="Calibri" w:cs="Calibri"/>
          <w:sz w:val="24"/>
          <w:szCs w:val="24"/>
        </w:rPr>
      </w:pPr>
      <w:r w:rsidRPr="666A0591">
        <w:rPr>
          <w:rFonts w:ascii="Calibri" w:eastAsia="Calibri" w:hAnsi="Calibri" w:cs="Calibri"/>
          <w:sz w:val="24"/>
          <w:szCs w:val="24"/>
        </w:rPr>
        <w:t>Innovations in teaching pedagogies that contribute to the broader community</w:t>
      </w:r>
      <w:r w:rsidR="4AEDE273" w:rsidRPr="666A0591">
        <w:rPr>
          <w:rFonts w:ascii="Calibri" w:eastAsia="Calibri" w:hAnsi="Calibri" w:cs="Calibri"/>
          <w:sz w:val="24"/>
          <w:szCs w:val="24"/>
        </w:rPr>
        <w:t xml:space="preserve"> (</w:t>
      </w:r>
      <w:r w:rsidR="7D3096C7" w:rsidRPr="666A0591">
        <w:rPr>
          <w:rFonts w:ascii="Calibri" w:eastAsia="Calibri" w:hAnsi="Calibri" w:cs="Calibri"/>
          <w:sz w:val="24"/>
          <w:szCs w:val="24"/>
        </w:rPr>
        <w:t>e.g.,</w:t>
      </w:r>
      <w:r w:rsidR="4AEDE273" w:rsidRPr="666A0591">
        <w:rPr>
          <w:rFonts w:ascii="Calibri" w:eastAsia="Calibri" w:hAnsi="Calibri" w:cs="Calibri"/>
          <w:sz w:val="24"/>
          <w:szCs w:val="24"/>
        </w:rPr>
        <w:t xml:space="preserve"> </w:t>
      </w:r>
      <w:r w:rsidRPr="666A0591">
        <w:rPr>
          <w:rFonts w:ascii="Calibri" w:eastAsia="Calibri" w:hAnsi="Calibri" w:cs="Calibri"/>
          <w:sz w:val="24"/>
          <w:szCs w:val="24"/>
        </w:rPr>
        <w:t>evidence of innovations that are then adopted by other faculty members at Linfield or colleagues at other institutions</w:t>
      </w:r>
      <w:r w:rsidR="1BBE268D" w:rsidRPr="666A0591">
        <w:rPr>
          <w:rFonts w:ascii="Calibri" w:eastAsia="Calibri" w:hAnsi="Calibri" w:cs="Calibri"/>
          <w:sz w:val="24"/>
          <w:szCs w:val="24"/>
        </w:rPr>
        <w:t>)</w:t>
      </w:r>
    </w:p>
    <w:p w14:paraId="398622F4" w14:textId="3923395F" w:rsidR="7A91ED8E" w:rsidRDefault="6C60EC1D" w:rsidP="00181FC3">
      <w:pPr>
        <w:pStyle w:val="ListParagraph"/>
        <w:numPr>
          <w:ilvl w:val="0"/>
          <w:numId w:val="13"/>
        </w:numPr>
        <w:rPr>
          <w:rFonts w:ascii="Calibri" w:eastAsia="Calibri" w:hAnsi="Calibri" w:cs="Calibri"/>
          <w:sz w:val="24"/>
          <w:szCs w:val="24"/>
        </w:rPr>
      </w:pPr>
      <w:r w:rsidRPr="1F1F22CC">
        <w:rPr>
          <w:rFonts w:ascii="Calibri" w:eastAsia="Calibri" w:hAnsi="Calibri" w:cs="Calibri"/>
          <w:sz w:val="24"/>
          <w:szCs w:val="24"/>
        </w:rPr>
        <w:lastRenderedPageBreak/>
        <w:t xml:space="preserve">Sharing </w:t>
      </w:r>
      <w:r w:rsidR="0E26FE3A" w:rsidRPr="1F1F22CC">
        <w:rPr>
          <w:rFonts w:ascii="Calibri" w:eastAsia="Calibri" w:hAnsi="Calibri" w:cs="Calibri"/>
          <w:sz w:val="24"/>
          <w:szCs w:val="24"/>
        </w:rPr>
        <w:t xml:space="preserve">pedagogies, </w:t>
      </w:r>
      <w:r w:rsidRPr="1F1F22CC">
        <w:rPr>
          <w:rFonts w:ascii="Calibri" w:eastAsia="Calibri" w:hAnsi="Calibri" w:cs="Calibri"/>
          <w:sz w:val="24"/>
          <w:szCs w:val="24"/>
        </w:rPr>
        <w:t>teaching strategies</w:t>
      </w:r>
      <w:r w:rsidR="12108872" w:rsidRPr="1F1F22CC">
        <w:rPr>
          <w:rFonts w:ascii="Calibri" w:eastAsia="Calibri" w:hAnsi="Calibri" w:cs="Calibri"/>
          <w:sz w:val="24"/>
          <w:szCs w:val="24"/>
        </w:rPr>
        <w:t>, and assessment</w:t>
      </w:r>
      <w:r w:rsidRPr="1F1F22CC">
        <w:rPr>
          <w:rFonts w:ascii="Calibri" w:eastAsia="Calibri" w:hAnsi="Calibri" w:cs="Calibri"/>
          <w:sz w:val="24"/>
          <w:szCs w:val="24"/>
        </w:rPr>
        <w:t xml:space="preserve"> expertise with Linfield colleagues through </w:t>
      </w:r>
      <w:r w:rsidR="3146A468" w:rsidRPr="1F1F22CC">
        <w:rPr>
          <w:rFonts w:ascii="Calibri" w:eastAsia="Calibri" w:hAnsi="Calibri" w:cs="Calibri"/>
          <w:sz w:val="24"/>
          <w:szCs w:val="24"/>
        </w:rPr>
        <w:t xml:space="preserve">facilitating </w:t>
      </w:r>
      <w:r w:rsidR="1B664FC8" w:rsidRPr="1F1F22CC">
        <w:rPr>
          <w:rFonts w:ascii="Calibri" w:eastAsia="Calibri" w:hAnsi="Calibri" w:cs="Calibri"/>
          <w:sz w:val="24"/>
          <w:szCs w:val="24"/>
        </w:rPr>
        <w:t xml:space="preserve">professional development </w:t>
      </w:r>
      <w:r w:rsidRPr="1F1F22CC">
        <w:rPr>
          <w:rFonts w:ascii="Calibri" w:eastAsia="Calibri" w:hAnsi="Calibri" w:cs="Calibri"/>
          <w:sz w:val="24"/>
          <w:szCs w:val="24"/>
        </w:rPr>
        <w:t xml:space="preserve">opportunities </w:t>
      </w:r>
      <w:r w:rsidR="71B97926" w:rsidRPr="1F1F22CC">
        <w:rPr>
          <w:rFonts w:ascii="Calibri" w:eastAsia="Calibri" w:hAnsi="Calibri" w:cs="Calibri"/>
          <w:sz w:val="24"/>
          <w:szCs w:val="24"/>
        </w:rPr>
        <w:t xml:space="preserve">(e.g., Faculty Observation Group, Faculty Teaching Learning Lunch, professional development community) </w:t>
      </w:r>
    </w:p>
    <w:p w14:paraId="53D94ECA" w14:textId="16994BE6" w:rsidR="7A91ED8E" w:rsidRDefault="6C60EC1D" w:rsidP="00181FC3">
      <w:pPr>
        <w:pStyle w:val="ListParagraph"/>
        <w:numPr>
          <w:ilvl w:val="0"/>
          <w:numId w:val="13"/>
        </w:numPr>
        <w:rPr>
          <w:rFonts w:ascii="Calibri" w:eastAsia="Calibri" w:hAnsi="Calibri" w:cs="Calibri"/>
          <w:sz w:val="24"/>
          <w:szCs w:val="24"/>
        </w:rPr>
      </w:pPr>
      <w:r w:rsidRPr="1F1F22CC">
        <w:rPr>
          <w:rFonts w:ascii="Calibri" w:eastAsia="Calibri" w:hAnsi="Calibri" w:cs="Calibri"/>
          <w:sz w:val="24"/>
          <w:szCs w:val="24"/>
        </w:rPr>
        <w:t>Receipt of teaching awards</w:t>
      </w:r>
    </w:p>
    <w:p w14:paraId="137398F0" w14:textId="588B6BA7" w:rsidR="7A91ED8E" w:rsidRDefault="7A91ED8E" w:rsidP="2FC4D52D">
      <w:pPr>
        <w:rPr>
          <w:rFonts w:ascii="Calibri" w:eastAsia="Calibri" w:hAnsi="Calibri" w:cs="Calibri"/>
          <w:sz w:val="20"/>
          <w:szCs w:val="20"/>
        </w:rPr>
      </w:pPr>
    </w:p>
    <w:p w14:paraId="18E61D4D" w14:textId="512663B4" w:rsidR="172BFF52" w:rsidRDefault="172BFF52" w:rsidP="3941B942">
      <w:pPr>
        <w:pStyle w:val="Heading2"/>
        <w:rPr>
          <w:rFonts w:ascii="Calibri" w:eastAsia="Calibri" w:hAnsi="Calibri" w:cs="Calibri"/>
          <w:i/>
          <w:iCs/>
          <w:sz w:val="24"/>
          <w:szCs w:val="24"/>
        </w:rPr>
      </w:pPr>
      <w:bookmarkStart w:id="13" w:name="_Toc2045235256"/>
      <w:r>
        <w:t>3</w:t>
      </w:r>
      <w:r w:rsidR="7A91ED8E">
        <w:t>.</w:t>
      </w:r>
      <w:r w:rsidR="3BF0F274">
        <w:t>B</w:t>
      </w:r>
      <w:r w:rsidR="7A91ED8E">
        <w:t xml:space="preserve"> Evidence of Teaching Effectiveness</w:t>
      </w:r>
      <w:bookmarkEnd w:id="13"/>
    </w:p>
    <w:p w14:paraId="2BEE3F1D" w14:textId="733C60E6" w:rsidR="7A91ED8E" w:rsidRDefault="7A91ED8E">
      <w:r w:rsidRPr="46A020A9">
        <w:rPr>
          <w:rFonts w:ascii="Calibri" w:eastAsia="Calibri" w:hAnsi="Calibri" w:cs="Calibri"/>
          <w:sz w:val="24"/>
          <w:szCs w:val="24"/>
        </w:rPr>
        <w:t xml:space="preserve"> </w:t>
      </w:r>
    </w:p>
    <w:p w14:paraId="2540140E" w14:textId="22C22BE2" w:rsidR="7A91ED8E" w:rsidRDefault="0A69882B" w:rsidP="6B29013E">
      <w:pPr>
        <w:rPr>
          <w:rFonts w:ascii="Calibri" w:eastAsia="Calibri" w:hAnsi="Calibri" w:cs="Calibri"/>
          <w:sz w:val="24"/>
          <w:szCs w:val="24"/>
        </w:rPr>
      </w:pPr>
      <w:r w:rsidRPr="4AD5620D">
        <w:rPr>
          <w:rFonts w:ascii="Calibri" w:eastAsia="Calibri" w:hAnsi="Calibri" w:cs="Calibri"/>
          <w:sz w:val="24"/>
          <w:szCs w:val="24"/>
        </w:rPr>
        <w:t xml:space="preserve">Evidence of teaching effectiveness must include student evaluations, colleague observations, and department director evaluations. Student evaluations will be made via the university-wide course evaluation process. </w:t>
      </w:r>
    </w:p>
    <w:p w14:paraId="2F5EF8E1" w14:textId="6950E49E" w:rsidR="7A91ED8E" w:rsidRDefault="7A91ED8E">
      <w:r w:rsidRPr="2AF949AA">
        <w:rPr>
          <w:rFonts w:ascii="Calibri" w:eastAsia="Calibri" w:hAnsi="Calibri" w:cs="Calibri"/>
          <w:sz w:val="24"/>
          <w:szCs w:val="24"/>
        </w:rPr>
        <w:t>In addition to an analysis of student evaluations, candidates may also include examples of the following evidence to enhance the committee’s understanding of the candidate’s teaching effectiveness:</w:t>
      </w:r>
    </w:p>
    <w:p w14:paraId="40956ACB" w14:textId="18198432" w:rsidR="7A91ED8E" w:rsidRDefault="7A91ED8E" w:rsidP="00181FC3">
      <w:pPr>
        <w:pStyle w:val="ListParagraph"/>
        <w:numPr>
          <w:ilvl w:val="0"/>
          <w:numId w:val="13"/>
        </w:numPr>
        <w:rPr>
          <w:rFonts w:ascii="Calibri" w:eastAsia="Calibri" w:hAnsi="Calibri" w:cs="Calibri"/>
          <w:sz w:val="24"/>
          <w:szCs w:val="24"/>
        </w:rPr>
      </w:pPr>
      <w:r w:rsidRPr="2AF949AA">
        <w:rPr>
          <w:rFonts w:ascii="Calibri" w:eastAsia="Calibri" w:hAnsi="Calibri" w:cs="Calibri"/>
          <w:sz w:val="24"/>
          <w:szCs w:val="24"/>
        </w:rPr>
        <w:t>course materials like annotated syllabi or assessments</w:t>
      </w:r>
    </w:p>
    <w:p w14:paraId="601284F8" w14:textId="1C409BE6" w:rsidR="737269B8" w:rsidRDefault="737269B8" w:rsidP="00181FC3">
      <w:pPr>
        <w:pStyle w:val="ListParagraph"/>
        <w:numPr>
          <w:ilvl w:val="0"/>
          <w:numId w:val="13"/>
        </w:numPr>
        <w:rPr>
          <w:rFonts w:ascii="Calibri" w:eastAsia="Calibri" w:hAnsi="Calibri" w:cs="Calibri"/>
          <w:sz w:val="24"/>
          <w:szCs w:val="24"/>
        </w:rPr>
      </w:pPr>
      <w:r w:rsidRPr="2AF949AA">
        <w:rPr>
          <w:rFonts w:ascii="Calibri" w:eastAsia="Calibri" w:hAnsi="Calibri" w:cs="Calibri"/>
          <w:sz w:val="24"/>
          <w:szCs w:val="24"/>
        </w:rPr>
        <w:t>summaries of evaluations by student teachers supervised by the candidate</w:t>
      </w:r>
    </w:p>
    <w:p w14:paraId="56F80888" w14:textId="16B77342" w:rsidR="737269B8" w:rsidRDefault="737269B8" w:rsidP="00181FC3">
      <w:pPr>
        <w:pStyle w:val="ListParagraph"/>
        <w:numPr>
          <w:ilvl w:val="0"/>
          <w:numId w:val="13"/>
        </w:numPr>
        <w:rPr>
          <w:rFonts w:ascii="Calibri" w:eastAsia="Calibri" w:hAnsi="Calibri" w:cs="Calibri"/>
          <w:sz w:val="24"/>
          <w:szCs w:val="24"/>
        </w:rPr>
      </w:pPr>
      <w:r w:rsidRPr="2AF949AA">
        <w:rPr>
          <w:rFonts w:ascii="Calibri" w:eastAsia="Calibri" w:hAnsi="Calibri" w:cs="Calibri"/>
          <w:sz w:val="24"/>
          <w:szCs w:val="24"/>
        </w:rPr>
        <w:t>supplemental comments or letters from faculty, alumni and students</w:t>
      </w:r>
    </w:p>
    <w:p w14:paraId="73732307" w14:textId="3E485033" w:rsidR="7A91ED8E" w:rsidRDefault="7A91ED8E" w:rsidP="00181FC3">
      <w:pPr>
        <w:pStyle w:val="ListParagraph"/>
        <w:numPr>
          <w:ilvl w:val="0"/>
          <w:numId w:val="13"/>
        </w:numPr>
        <w:rPr>
          <w:rFonts w:ascii="Calibri" w:eastAsia="Calibri" w:hAnsi="Calibri" w:cs="Calibri"/>
          <w:sz w:val="24"/>
          <w:szCs w:val="24"/>
        </w:rPr>
      </w:pPr>
      <w:r w:rsidRPr="2FC4D52D">
        <w:rPr>
          <w:rFonts w:ascii="Calibri" w:eastAsia="Calibri" w:hAnsi="Calibri" w:cs="Calibri"/>
          <w:sz w:val="24"/>
          <w:szCs w:val="24"/>
        </w:rPr>
        <w:t>adapting teaching styles and pedagogical approach to the context of the course and/or students’ needs or feedback from course evaluations</w:t>
      </w:r>
    </w:p>
    <w:p w14:paraId="014C9905" w14:textId="61F5A843" w:rsidR="7A91ED8E" w:rsidRDefault="7A91ED8E" w:rsidP="00181FC3">
      <w:pPr>
        <w:pStyle w:val="ListParagraph"/>
        <w:numPr>
          <w:ilvl w:val="0"/>
          <w:numId w:val="13"/>
        </w:numPr>
        <w:rPr>
          <w:rFonts w:ascii="Calibri" w:eastAsia="Calibri" w:hAnsi="Calibri" w:cs="Calibri"/>
          <w:sz w:val="24"/>
          <w:szCs w:val="24"/>
        </w:rPr>
      </w:pPr>
      <w:r w:rsidRPr="2FC4D52D">
        <w:rPr>
          <w:rFonts w:ascii="Calibri" w:eastAsia="Calibri" w:hAnsi="Calibri" w:cs="Calibri"/>
          <w:sz w:val="24"/>
          <w:szCs w:val="24"/>
        </w:rPr>
        <w:t>reflection on context for course goals including reasons why pedagogical approaches may stay the same even in the face of student feedback</w:t>
      </w:r>
    </w:p>
    <w:p w14:paraId="13836F5D" w14:textId="146FD3E8" w:rsidR="7A91ED8E" w:rsidRDefault="7A91ED8E" w:rsidP="00181FC3">
      <w:pPr>
        <w:pStyle w:val="ListParagraph"/>
        <w:numPr>
          <w:ilvl w:val="0"/>
          <w:numId w:val="13"/>
        </w:numPr>
        <w:rPr>
          <w:rFonts w:ascii="Calibri" w:eastAsia="Calibri" w:hAnsi="Calibri" w:cs="Calibri"/>
          <w:sz w:val="24"/>
          <w:szCs w:val="24"/>
        </w:rPr>
      </w:pPr>
      <w:r w:rsidRPr="2AF949AA">
        <w:rPr>
          <w:rFonts w:ascii="Calibri" w:eastAsia="Calibri" w:hAnsi="Calibri" w:cs="Calibri"/>
          <w:sz w:val="24"/>
          <w:szCs w:val="24"/>
        </w:rPr>
        <w:t>a trajectory of teaching techniques over time that indicates thoughtful reflection on the candidate’s teaching methods</w:t>
      </w:r>
    </w:p>
    <w:p w14:paraId="2D6EA7B8" w14:textId="6B2A7972" w:rsidR="7A91ED8E" w:rsidRDefault="7A91ED8E" w:rsidP="00181FC3">
      <w:pPr>
        <w:pStyle w:val="ListParagraph"/>
        <w:numPr>
          <w:ilvl w:val="0"/>
          <w:numId w:val="13"/>
        </w:numPr>
        <w:rPr>
          <w:rFonts w:ascii="Calibri" w:eastAsia="Calibri" w:hAnsi="Calibri" w:cs="Calibri"/>
          <w:sz w:val="24"/>
          <w:szCs w:val="24"/>
        </w:rPr>
      </w:pPr>
      <w:r w:rsidRPr="2AF949AA">
        <w:rPr>
          <w:rFonts w:ascii="Calibri" w:eastAsia="Calibri" w:hAnsi="Calibri" w:cs="Calibri"/>
          <w:sz w:val="24"/>
          <w:szCs w:val="24"/>
        </w:rPr>
        <w:t>development of new courses or curricula</w:t>
      </w:r>
    </w:p>
    <w:p w14:paraId="4F87BCA0" w14:textId="032CC53B" w:rsidR="7A91ED8E" w:rsidRDefault="7A91ED8E" w:rsidP="00181FC3">
      <w:pPr>
        <w:pStyle w:val="ListParagraph"/>
        <w:numPr>
          <w:ilvl w:val="0"/>
          <w:numId w:val="13"/>
        </w:numPr>
        <w:rPr>
          <w:rFonts w:ascii="Calibri" w:eastAsia="Calibri" w:hAnsi="Calibri" w:cs="Calibri"/>
          <w:sz w:val="24"/>
          <w:szCs w:val="24"/>
        </w:rPr>
      </w:pPr>
      <w:r w:rsidRPr="2AF949AA">
        <w:rPr>
          <w:rFonts w:ascii="Calibri" w:eastAsia="Calibri" w:hAnsi="Calibri" w:cs="Calibri"/>
          <w:sz w:val="24"/>
          <w:szCs w:val="24"/>
        </w:rPr>
        <w:t>teaching non-departmental courses, including those within the Linfield Curriculum</w:t>
      </w:r>
    </w:p>
    <w:p w14:paraId="25CEAC23" w14:textId="60A2F3A8" w:rsidR="7A91ED8E" w:rsidRDefault="7A91ED8E" w:rsidP="00181FC3">
      <w:pPr>
        <w:pStyle w:val="ListParagraph"/>
        <w:numPr>
          <w:ilvl w:val="0"/>
          <w:numId w:val="13"/>
        </w:numPr>
        <w:rPr>
          <w:rFonts w:ascii="Calibri" w:eastAsia="Calibri" w:hAnsi="Calibri" w:cs="Calibri"/>
          <w:sz w:val="24"/>
          <w:szCs w:val="24"/>
        </w:rPr>
      </w:pPr>
      <w:r w:rsidRPr="2AF949AA">
        <w:rPr>
          <w:rFonts w:ascii="Calibri" w:eastAsia="Calibri" w:hAnsi="Calibri" w:cs="Calibri"/>
          <w:sz w:val="24"/>
          <w:szCs w:val="24"/>
        </w:rPr>
        <w:t>significant redesign of established courses with respect to content, pedagogy, alignment with new standards</w:t>
      </w:r>
    </w:p>
    <w:p w14:paraId="3F7A0F76" w14:textId="7B0A3736" w:rsidR="7A91ED8E" w:rsidRDefault="7A91ED8E" w:rsidP="00181FC3">
      <w:pPr>
        <w:pStyle w:val="ListParagraph"/>
        <w:numPr>
          <w:ilvl w:val="0"/>
          <w:numId w:val="13"/>
        </w:numPr>
        <w:rPr>
          <w:rFonts w:ascii="Calibri" w:eastAsia="Calibri" w:hAnsi="Calibri" w:cs="Calibri"/>
          <w:sz w:val="24"/>
          <w:szCs w:val="24"/>
        </w:rPr>
      </w:pPr>
      <w:r w:rsidRPr="3941B942">
        <w:rPr>
          <w:rFonts w:ascii="Calibri" w:eastAsia="Calibri" w:hAnsi="Calibri" w:cs="Calibri"/>
          <w:sz w:val="24"/>
          <w:szCs w:val="24"/>
        </w:rPr>
        <w:t>active involvement in student mentoring activities (e.g.</w:t>
      </w:r>
      <w:r w:rsidR="10A86403" w:rsidRPr="3941B942">
        <w:rPr>
          <w:rFonts w:ascii="Calibri" w:eastAsia="Calibri" w:hAnsi="Calibri" w:cs="Calibri"/>
          <w:sz w:val="24"/>
          <w:szCs w:val="24"/>
        </w:rPr>
        <w:t>,</w:t>
      </w:r>
      <w:r w:rsidRPr="3941B942">
        <w:rPr>
          <w:rFonts w:ascii="Calibri" w:eastAsia="Calibri" w:hAnsi="Calibri" w:cs="Calibri"/>
          <w:sz w:val="24"/>
          <w:szCs w:val="24"/>
        </w:rPr>
        <w:t xml:space="preserve"> student</w:t>
      </w:r>
      <w:r w:rsidR="6D0BD354" w:rsidRPr="3941B942">
        <w:rPr>
          <w:rFonts w:ascii="Calibri" w:eastAsia="Calibri" w:hAnsi="Calibri" w:cs="Calibri"/>
          <w:sz w:val="24"/>
          <w:szCs w:val="24"/>
        </w:rPr>
        <w:t>-</w:t>
      </w:r>
      <w:r w:rsidRPr="3941B942">
        <w:rPr>
          <w:rFonts w:ascii="Calibri" w:eastAsia="Calibri" w:hAnsi="Calibri" w:cs="Calibri"/>
          <w:sz w:val="24"/>
          <w:szCs w:val="24"/>
        </w:rPr>
        <w:t>teaching supervision, helping students prepare job or scholarship application materials)</w:t>
      </w:r>
    </w:p>
    <w:p w14:paraId="1404BE0C" w14:textId="28C3BC3C" w:rsidR="7A91ED8E" w:rsidRDefault="7A91ED8E" w:rsidP="00181FC3">
      <w:pPr>
        <w:pStyle w:val="ListParagraph"/>
        <w:numPr>
          <w:ilvl w:val="0"/>
          <w:numId w:val="13"/>
        </w:numPr>
        <w:rPr>
          <w:rFonts w:ascii="Calibri" w:eastAsia="Calibri" w:hAnsi="Calibri" w:cs="Calibri"/>
          <w:sz w:val="24"/>
          <w:szCs w:val="24"/>
        </w:rPr>
      </w:pPr>
      <w:r w:rsidRPr="666A0591">
        <w:rPr>
          <w:rFonts w:ascii="Calibri" w:eastAsia="Calibri" w:hAnsi="Calibri" w:cs="Calibri"/>
          <w:sz w:val="24"/>
          <w:szCs w:val="24"/>
        </w:rPr>
        <w:t xml:space="preserve">narrative regarding </w:t>
      </w:r>
      <w:r w:rsidR="47ACFD85" w:rsidRPr="666A0591">
        <w:rPr>
          <w:rFonts w:ascii="Calibri" w:eastAsia="Calibri" w:hAnsi="Calibri" w:cs="Calibri"/>
          <w:sz w:val="24"/>
          <w:szCs w:val="24"/>
        </w:rPr>
        <w:t>the number</w:t>
      </w:r>
      <w:r w:rsidRPr="666A0591">
        <w:rPr>
          <w:rFonts w:ascii="Calibri" w:eastAsia="Calibri" w:hAnsi="Calibri" w:cs="Calibri"/>
          <w:sz w:val="24"/>
          <w:szCs w:val="24"/>
        </w:rPr>
        <w:t xml:space="preserve"> of advisees, student teaching supervision, self-reflection of teaching progress and development, etc.</w:t>
      </w:r>
    </w:p>
    <w:p w14:paraId="343DDAE4" w14:textId="31A139DA" w:rsidR="196EC4FA" w:rsidRDefault="41A26890" w:rsidP="00181FC3">
      <w:pPr>
        <w:pStyle w:val="ListParagraph"/>
        <w:numPr>
          <w:ilvl w:val="0"/>
          <w:numId w:val="13"/>
        </w:numPr>
        <w:rPr>
          <w:rFonts w:ascii="Calibri" w:eastAsia="Calibri" w:hAnsi="Calibri" w:cs="Calibri"/>
          <w:sz w:val="24"/>
          <w:szCs w:val="24"/>
        </w:rPr>
      </w:pPr>
      <w:r w:rsidRPr="3941B942">
        <w:rPr>
          <w:rFonts w:ascii="Calibri" w:eastAsia="Calibri" w:hAnsi="Calibri" w:cs="Calibri"/>
          <w:sz w:val="24"/>
          <w:szCs w:val="24"/>
        </w:rPr>
        <w:t>p</w:t>
      </w:r>
      <w:r w:rsidR="196EC4FA" w:rsidRPr="3941B942">
        <w:rPr>
          <w:rFonts w:ascii="Calibri" w:eastAsia="Calibri" w:hAnsi="Calibri" w:cs="Calibri"/>
          <w:sz w:val="24"/>
          <w:szCs w:val="24"/>
        </w:rPr>
        <w:t xml:space="preserve">ersonal </w:t>
      </w:r>
      <w:r w:rsidR="552FAD76" w:rsidRPr="3941B942">
        <w:rPr>
          <w:rFonts w:ascii="Calibri" w:eastAsia="Calibri" w:hAnsi="Calibri" w:cs="Calibri"/>
          <w:sz w:val="24"/>
          <w:szCs w:val="24"/>
        </w:rPr>
        <w:t>reflection</w:t>
      </w:r>
      <w:r w:rsidR="5907B6A5" w:rsidRPr="3941B942">
        <w:rPr>
          <w:rFonts w:ascii="Calibri" w:eastAsia="Calibri" w:hAnsi="Calibri" w:cs="Calibri"/>
          <w:sz w:val="24"/>
          <w:szCs w:val="24"/>
        </w:rPr>
        <w:t xml:space="preserve"> and/or participant feedback</w:t>
      </w:r>
      <w:r w:rsidR="552FAD76" w:rsidRPr="3941B942">
        <w:rPr>
          <w:rFonts w:ascii="Calibri" w:eastAsia="Calibri" w:hAnsi="Calibri" w:cs="Calibri"/>
          <w:sz w:val="24"/>
          <w:szCs w:val="24"/>
        </w:rPr>
        <w:t xml:space="preserve"> </w:t>
      </w:r>
      <w:r w:rsidR="553A0D99" w:rsidRPr="3941B942">
        <w:rPr>
          <w:rFonts w:ascii="Calibri" w:eastAsia="Calibri" w:hAnsi="Calibri" w:cs="Calibri"/>
          <w:sz w:val="24"/>
          <w:szCs w:val="24"/>
        </w:rPr>
        <w:t>regarding</w:t>
      </w:r>
      <w:r w:rsidR="552FAD76" w:rsidRPr="3941B942">
        <w:rPr>
          <w:rFonts w:ascii="Calibri" w:eastAsia="Calibri" w:hAnsi="Calibri" w:cs="Calibri"/>
          <w:sz w:val="24"/>
          <w:szCs w:val="24"/>
        </w:rPr>
        <w:t xml:space="preserve"> facilitation of professional development on pedagogy and/or assessment</w:t>
      </w:r>
    </w:p>
    <w:p w14:paraId="22A9E292" w14:textId="30D85508" w:rsidR="7A91ED8E" w:rsidRDefault="7A91ED8E">
      <w:r w:rsidRPr="46A020A9">
        <w:rPr>
          <w:rFonts w:ascii="Calibri" w:eastAsia="Calibri" w:hAnsi="Calibri" w:cs="Calibri"/>
          <w:sz w:val="24"/>
          <w:szCs w:val="24"/>
        </w:rPr>
        <w:t xml:space="preserve"> </w:t>
      </w:r>
    </w:p>
    <w:p w14:paraId="3E154B65" w14:textId="4CD1BEDD" w:rsidR="7A91ED8E" w:rsidRDefault="7A91ED8E">
      <w:r w:rsidRPr="46A020A9">
        <w:rPr>
          <w:rFonts w:ascii="Calibri" w:eastAsia="Calibri" w:hAnsi="Calibri" w:cs="Calibri"/>
          <w:sz w:val="24"/>
          <w:szCs w:val="24"/>
        </w:rPr>
        <w:t xml:space="preserve">It is highly recommended that in their narrative self-appraisal, the candidate articulates specific pieces of evidence and the reasoning behind their inclusion in the portfolio. </w:t>
      </w:r>
    </w:p>
    <w:p w14:paraId="0B91AF26" w14:textId="05C78FBF" w:rsidR="7A91ED8E" w:rsidRDefault="41DF7A7A">
      <w:r w:rsidRPr="1CB7E602">
        <w:rPr>
          <w:rFonts w:ascii="Calibri" w:eastAsia="Calibri" w:hAnsi="Calibri" w:cs="Calibri"/>
          <w:sz w:val="24"/>
          <w:szCs w:val="24"/>
        </w:rPr>
        <w:lastRenderedPageBreak/>
        <w:t xml:space="preserve">  </w:t>
      </w:r>
    </w:p>
    <w:p w14:paraId="765D49F6" w14:textId="4276A791" w:rsidR="51C8C80C" w:rsidRDefault="51C8C80C" w:rsidP="3941B942">
      <w:pPr>
        <w:pStyle w:val="Heading2"/>
        <w:rPr>
          <w:rFonts w:ascii="Calibri" w:eastAsia="Calibri" w:hAnsi="Calibri" w:cs="Calibri"/>
          <w:i/>
          <w:iCs/>
          <w:sz w:val="24"/>
          <w:szCs w:val="24"/>
        </w:rPr>
      </w:pPr>
      <w:bookmarkStart w:id="14" w:name="_Toc1975700353"/>
      <w:r>
        <w:t>3</w:t>
      </w:r>
      <w:r w:rsidR="7A91ED8E">
        <w:t>.</w:t>
      </w:r>
      <w:r w:rsidR="0BEF2A11">
        <w:t>C</w:t>
      </w:r>
      <w:r w:rsidR="7A91ED8E">
        <w:t xml:space="preserve"> Role of Classroom Observations in Evaluation</w:t>
      </w:r>
      <w:bookmarkEnd w:id="14"/>
    </w:p>
    <w:p w14:paraId="7FC9DB4C" w14:textId="2BB186DD" w:rsidR="7A91ED8E" w:rsidRDefault="7A91ED8E">
      <w:r w:rsidRPr="46A020A9">
        <w:rPr>
          <w:rFonts w:ascii="Calibri" w:eastAsia="Calibri" w:hAnsi="Calibri" w:cs="Calibri"/>
          <w:sz w:val="24"/>
          <w:szCs w:val="24"/>
        </w:rPr>
        <w:t xml:space="preserve"> </w:t>
      </w:r>
    </w:p>
    <w:p w14:paraId="43EAEDFF" w14:textId="5B46D177" w:rsidR="7A91ED8E" w:rsidRDefault="7A91ED8E">
      <w:r w:rsidRPr="1F1F22CC">
        <w:rPr>
          <w:rFonts w:ascii="Calibri" w:eastAsia="Calibri" w:hAnsi="Calibri" w:cs="Calibri"/>
          <w:sz w:val="24"/>
          <w:szCs w:val="24"/>
        </w:rPr>
        <w:t xml:space="preserve">Colleague evaluations of teaching effectiveness will be made primarily based on discussions with the candidate and at least one classroom visit. As opportunities for growth, classroom observations should include pre- and post-observation discussion of the candidate’s classroom goals and reflection on how well those goals are being met. Tenured faculty will make every effort to attend multiple courses over the probationary period to document progress in teaching. Faculty evaluations of colleagues should document knowledge of and enthusiasm for the subject matter, organization and effective use of class time, and respect for students’ viewpoints. </w:t>
      </w:r>
    </w:p>
    <w:p w14:paraId="61222701" w14:textId="06C2CEF1" w:rsidR="7A91ED8E" w:rsidRDefault="7A91ED8E">
      <w:r w:rsidRPr="46A020A9">
        <w:rPr>
          <w:rFonts w:ascii="Calibri" w:eastAsia="Calibri" w:hAnsi="Calibri" w:cs="Calibri"/>
          <w:sz w:val="24"/>
          <w:szCs w:val="24"/>
        </w:rPr>
        <w:t xml:space="preserve"> </w:t>
      </w:r>
    </w:p>
    <w:p w14:paraId="40F7CEC5" w14:textId="7FDF157C" w:rsidR="7A91ED8E" w:rsidRDefault="41DF7A7A">
      <w:r w:rsidRPr="2AF949AA">
        <w:rPr>
          <w:rFonts w:ascii="Calibri" w:eastAsia="Calibri" w:hAnsi="Calibri" w:cs="Calibri"/>
          <w:sz w:val="24"/>
          <w:szCs w:val="24"/>
        </w:rPr>
        <w:t xml:space="preserve">Untenured faculty are observed by all tenured department members at least once prior to going up for </w:t>
      </w:r>
      <w:r w:rsidR="2D3BC7D2" w:rsidRPr="2AF949AA">
        <w:rPr>
          <w:rFonts w:ascii="Calibri" w:eastAsia="Calibri" w:hAnsi="Calibri" w:cs="Calibri"/>
          <w:sz w:val="24"/>
          <w:szCs w:val="24"/>
        </w:rPr>
        <w:t>tenure and</w:t>
      </w:r>
      <w:r w:rsidRPr="2AF949AA">
        <w:rPr>
          <w:rFonts w:ascii="Calibri" w:eastAsia="Calibri" w:hAnsi="Calibri" w:cs="Calibri"/>
          <w:sz w:val="24"/>
          <w:szCs w:val="24"/>
        </w:rPr>
        <w:t xml:space="preserve"> observed at least once each year by the department director. Associate </w:t>
      </w:r>
      <w:r w:rsidR="0699ABB7" w:rsidRPr="2AF949AA">
        <w:rPr>
          <w:rFonts w:ascii="Calibri" w:eastAsia="Calibri" w:hAnsi="Calibri" w:cs="Calibri"/>
          <w:sz w:val="24"/>
          <w:szCs w:val="24"/>
        </w:rPr>
        <w:t>P</w:t>
      </w:r>
      <w:r w:rsidRPr="2AF949AA">
        <w:rPr>
          <w:rFonts w:ascii="Calibri" w:eastAsia="Calibri" w:hAnsi="Calibri" w:cs="Calibri"/>
          <w:sz w:val="24"/>
          <w:szCs w:val="24"/>
        </w:rPr>
        <w:t xml:space="preserve">rofessors are observed by all tenured faculty at least once before going up for promotion to </w:t>
      </w:r>
      <w:r w:rsidR="319588AD" w:rsidRPr="2AF949AA">
        <w:rPr>
          <w:rFonts w:ascii="Calibri" w:eastAsia="Calibri" w:hAnsi="Calibri" w:cs="Calibri"/>
          <w:sz w:val="24"/>
          <w:szCs w:val="24"/>
        </w:rPr>
        <w:t>F</w:t>
      </w:r>
      <w:r w:rsidRPr="2AF949AA">
        <w:rPr>
          <w:rFonts w:ascii="Calibri" w:eastAsia="Calibri" w:hAnsi="Calibri" w:cs="Calibri"/>
          <w:sz w:val="24"/>
          <w:szCs w:val="24"/>
        </w:rPr>
        <w:t xml:space="preserve">ull </w:t>
      </w:r>
      <w:r w:rsidR="6BEF891C" w:rsidRPr="2AF949AA">
        <w:rPr>
          <w:rFonts w:ascii="Calibri" w:eastAsia="Calibri" w:hAnsi="Calibri" w:cs="Calibri"/>
          <w:sz w:val="24"/>
          <w:szCs w:val="24"/>
        </w:rPr>
        <w:t>P</w:t>
      </w:r>
      <w:r w:rsidRPr="2AF949AA">
        <w:rPr>
          <w:rFonts w:ascii="Calibri" w:eastAsia="Calibri" w:hAnsi="Calibri" w:cs="Calibri"/>
          <w:sz w:val="24"/>
          <w:szCs w:val="24"/>
        </w:rPr>
        <w:t>rofessor.</w:t>
      </w:r>
    </w:p>
    <w:p w14:paraId="1650AEA0" w14:textId="03AF1D9C" w:rsidR="2FC4D52D" w:rsidRDefault="2FC4D52D" w:rsidP="2FC4D52D">
      <w:pPr>
        <w:rPr>
          <w:rFonts w:ascii="Calibri" w:eastAsia="Calibri" w:hAnsi="Calibri" w:cs="Calibri"/>
          <w:sz w:val="24"/>
          <w:szCs w:val="24"/>
        </w:rPr>
      </w:pPr>
    </w:p>
    <w:p w14:paraId="0C466F2C" w14:textId="4B035CC8" w:rsidR="00316B1B" w:rsidRDefault="6C162787" w:rsidP="2FC4D52D">
      <w:pPr>
        <w:pStyle w:val="Heading1"/>
      </w:pPr>
      <w:bookmarkStart w:id="15" w:name="_Toc1577556564"/>
      <w:bookmarkStart w:id="16" w:name="_Toc1651304562"/>
      <w:bookmarkStart w:id="17" w:name="_Toc2122607089"/>
      <w:bookmarkStart w:id="18" w:name="_Toc1528319005"/>
      <w:bookmarkStart w:id="19" w:name="_Toc514512058"/>
      <w:r>
        <w:t>PART 4: Professional Achievement</w:t>
      </w:r>
      <w:r w:rsidR="16011883">
        <w:t>s</w:t>
      </w:r>
      <w:bookmarkEnd w:id="15"/>
      <w:bookmarkEnd w:id="16"/>
      <w:bookmarkEnd w:id="17"/>
      <w:bookmarkEnd w:id="18"/>
      <w:bookmarkEnd w:id="19"/>
    </w:p>
    <w:p w14:paraId="23CBD854" w14:textId="088889DE" w:rsidR="00316B1B" w:rsidRDefault="1C92F7F2" w:rsidP="2FC4D52D">
      <w:pPr>
        <w:rPr>
          <w:rFonts w:ascii="Calibri" w:eastAsia="Calibri" w:hAnsi="Calibri" w:cs="Calibri"/>
          <w:sz w:val="24"/>
          <w:szCs w:val="24"/>
        </w:rPr>
      </w:pPr>
      <w:r w:rsidRPr="666A0591">
        <w:rPr>
          <w:rFonts w:ascii="Calibri" w:eastAsia="Calibri" w:hAnsi="Calibri" w:cs="Calibri"/>
          <w:sz w:val="24"/>
          <w:szCs w:val="24"/>
        </w:rPr>
        <w:t xml:space="preserve">We value an integrated approach to the work of an </w:t>
      </w:r>
      <w:bookmarkStart w:id="20" w:name="_Int_FiFV2FHN"/>
      <w:r w:rsidRPr="666A0591">
        <w:rPr>
          <w:rFonts w:ascii="Calibri" w:eastAsia="Calibri" w:hAnsi="Calibri" w:cs="Calibri"/>
          <w:sz w:val="24"/>
          <w:szCs w:val="24"/>
        </w:rPr>
        <w:t>Education</w:t>
      </w:r>
      <w:bookmarkEnd w:id="20"/>
      <w:r w:rsidRPr="666A0591">
        <w:rPr>
          <w:rFonts w:ascii="Calibri" w:eastAsia="Calibri" w:hAnsi="Calibri" w:cs="Calibri"/>
          <w:sz w:val="24"/>
          <w:szCs w:val="24"/>
        </w:rPr>
        <w:t xml:space="preserve"> faculty member’s professional life, in which faculty blend teaching effectiveness, professional achievements, and service to the university and community. In particular, scholarly activity and professional achievements are closely connected to, and serve to inform, our quality of teaching</w:t>
      </w:r>
      <w:r w:rsidR="72E59970" w:rsidRPr="666A0591">
        <w:rPr>
          <w:rFonts w:ascii="Calibri" w:eastAsia="Calibri" w:hAnsi="Calibri" w:cs="Calibri"/>
          <w:sz w:val="24"/>
          <w:szCs w:val="24"/>
        </w:rPr>
        <w:t xml:space="preserve"> and the development of our program</w:t>
      </w:r>
      <w:r w:rsidRPr="666A0591">
        <w:rPr>
          <w:rFonts w:ascii="Calibri" w:eastAsia="Calibri" w:hAnsi="Calibri" w:cs="Calibri"/>
          <w:sz w:val="24"/>
          <w:szCs w:val="24"/>
        </w:rPr>
        <w:t>. As such, it is our responsibility as Education faculty members to consistently stay engaged in ongoing professional learning and scholarly pursuits.</w:t>
      </w:r>
    </w:p>
    <w:p w14:paraId="71FF72DA" w14:textId="21E7EE1E" w:rsidR="00316B1B" w:rsidRDefault="0625043C" w:rsidP="3D63CB14">
      <w:r w:rsidRPr="3D63CB14">
        <w:rPr>
          <w:rFonts w:ascii="Calibri" w:eastAsia="Calibri" w:hAnsi="Calibri" w:cs="Calibri"/>
          <w:sz w:val="24"/>
          <w:szCs w:val="24"/>
        </w:rPr>
        <w:t>Consistent with the Faculty Handbook (Section IV.6.1.2) faculty must demonstrate professional achievements in several important areas, including*:</w:t>
      </w:r>
    </w:p>
    <w:p w14:paraId="64901DB3" w14:textId="505F4DBE" w:rsidR="00316B1B" w:rsidRDefault="0625043C" w:rsidP="3941B942">
      <w:pPr>
        <w:ind w:left="360"/>
        <w:rPr>
          <w:rFonts w:ascii="Calibri" w:eastAsia="Calibri" w:hAnsi="Calibri" w:cs="Calibri"/>
          <w:sz w:val="24"/>
          <w:szCs w:val="24"/>
        </w:rPr>
      </w:pPr>
      <w:r w:rsidRPr="3941B942">
        <w:rPr>
          <w:rFonts w:ascii="Calibri" w:eastAsia="Calibri" w:hAnsi="Calibri" w:cs="Calibri"/>
          <w:sz w:val="24"/>
          <w:szCs w:val="24"/>
        </w:rPr>
        <w:t>1. research or creative work</w:t>
      </w:r>
    </w:p>
    <w:p w14:paraId="79A2D186" w14:textId="13DC97AB" w:rsidR="00316B1B" w:rsidRDefault="0625043C" w:rsidP="3941B942">
      <w:pPr>
        <w:ind w:left="360"/>
      </w:pPr>
      <w:r w:rsidRPr="3941B942">
        <w:rPr>
          <w:rFonts w:ascii="Calibri" w:eastAsia="Calibri" w:hAnsi="Calibri" w:cs="Calibri"/>
          <w:sz w:val="24"/>
          <w:szCs w:val="24"/>
        </w:rPr>
        <w:t>2. publications and artistic or professional presentations</w:t>
      </w:r>
    </w:p>
    <w:p w14:paraId="134DB8D8" w14:textId="503FF845" w:rsidR="00316B1B" w:rsidRDefault="0625043C" w:rsidP="3941B942">
      <w:pPr>
        <w:ind w:left="360"/>
      </w:pPr>
      <w:r w:rsidRPr="3941B942">
        <w:rPr>
          <w:rFonts w:ascii="Calibri" w:eastAsia="Calibri" w:hAnsi="Calibri" w:cs="Calibri"/>
          <w:sz w:val="24"/>
          <w:szCs w:val="24"/>
        </w:rPr>
        <w:t>3. peer recognition by professional societies/organizations</w:t>
      </w:r>
    </w:p>
    <w:p w14:paraId="2F942E17" w14:textId="0FDB2958" w:rsidR="00316B1B" w:rsidRDefault="0625043C" w:rsidP="3941B942">
      <w:pPr>
        <w:ind w:left="360"/>
      </w:pPr>
      <w:r w:rsidRPr="3941B942">
        <w:rPr>
          <w:rFonts w:ascii="Calibri" w:eastAsia="Calibri" w:hAnsi="Calibri" w:cs="Calibri"/>
          <w:sz w:val="24"/>
          <w:szCs w:val="24"/>
        </w:rPr>
        <w:t>4. study at other institutions for additional credential or toward an advanced degree beyond the terminal degree Linfield requires for the discipline</w:t>
      </w:r>
    </w:p>
    <w:p w14:paraId="14355D86" w14:textId="063178DE" w:rsidR="00316B1B" w:rsidRDefault="0625043C" w:rsidP="3941B942">
      <w:pPr>
        <w:ind w:left="360"/>
        <w:rPr>
          <w:rFonts w:ascii="Calibri" w:eastAsia="Calibri" w:hAnsi="Calibri" w:cs="Calibri"/>
          <w:sz w:val="24"/>
          <w:szCs w:val="24"/>
        </w:rPr>
      </w:pPr>
      <w:r w:rsidRPr="3941B942">
        <w:rPr>
          <w:rFonts w:ascii="Calibri" w:eastAsia="Calibri" w:hAnsi="Calibri" w:cs="Calibri"/>
          <w:sz w:val="24"/>
          <w:szCs w:val="24"/>
        </w:rPr>
        <w:t>5. professional practice and/or development necessary to maintain competency and credentials</w:t>
      </w:r>
    </w:p>
    <w:p w14:paraId="766EF355" w14:textId="45764210" w:rsidR="00316B1B" w:rsidRDefault="0625043C" w:rsidP="3D63CB14">
      <w:pPr>
        <w:rPr>
          <w:rFonts w:ascii="Calibri" w:eastAsia="Calibri" w:hAnsi="Calibri" w:cs="Calibri"/>
          <w:sz w:val="24"/>
          <w:szCs w:val="24"/>
        </w:rPr>
      </w:pPr>
      <w:r w:rsidRPr="0A95B246">
        <w:rPr>
          <w:rFonts w:ascii="Calibri" w:eastAsia="Calibri" w:hAnsi="Calibri" w:cs="Calibri"/>
          <w:b/>
          <w:bCs/>
          <w:sz w:val="24"/>
          <w:szCs w:val="24"/>
        </w:rPr>
        <w:lastRenderedPageBreak/>
        <w:t xml:space="preserve"> </w:t>
      </w:r>
      <w:r w:rsidRPr="0A95B246">
        <w:rPr>
          <w:rFonts w:ascii="Calibri" w:eastAsia="Calibri" w:hAnsi="Calibri" w:cs="Calibri"/>
          <w:sz w:val="24"/>
          <w:szCs w:val="24"/>
        </w:rPr>
        <w:t>*While numbered here as in the Faculty Handbook, and for easy reference, the numbers listed above do not indicate any prioritization of these elements of Professional Achievements. The Education Department does not view the above list as exhaustive, nor is it understood to serve as a checklist.</w:t>
      </w:r>
    </w:p>
    <w:p w14:paraId="4CEB1EB1" w14:textId="1D2F6D0B" w:rsidR="0A95B246" w:rsidRDefault="0A95B246" w:rsidP="0A95B246">
      <w:pPr>
        <w:pStyle w:val="Heading2"/>
      </w:pPr>
    </w:p>
    <w:p w14:paraId="70CFAE4D" w14:textId="641F3544" w:rsidR="00316B1B" w:rsidRDefault="2FCAB107" w:rsidP="6B3E84FA">
      <w:pPr>
        <w:pStyle w:val="Heading2"/>
      </w:pPr>
      <w:bookmarkStart w:id="21" w:name="_Toc1778266724"/>
      <w:r>
        <w:t>4.A Promotion and Tenure Criteria: Professional Achievements</w:t>
      </w:r>
      <w:bookmarkEnd w:id="21"/>
    </w:p>
    <w:p w14:paraId="27210DFA" w14:textId="04D5FB17" w:rsidR="6B3E84FA" w:rsidRDefault="6B3E84FA" w:rsidP="6B3E84FA">
      <w:pPr>
        <w:rPr>
          <w:rFonts w:ascii="Calibri" w:eastAsia="Calibri" w:hAnsi="Calibri" w:cs="Calibri"/>
          <w:sz w:val="24"/>
          <w:szCs w:val="24"/>
        </w:rPr>
      </w:pPr>
    </w:p>
    <w:p w14:paraId="65780734" w14:textId="003D662C" w:rsidR="00316B1B" w:rsidRDefault="16501180" w:rsidP="46A020A9">
      <w:r w:rsidRPr="46A020A9">
        <w:rPr>
          <w:rFonts w:ascii="Calibri" w:eastAsia="Calibri" w:hAnsi="Calibri" w:cs="Calibri"/>
          <w:sz w:val="24"/>
          <w:szCs w:val="24"/>
          <w:u w:val="single"/>
        </w:rPr>
        <w:t xml:space="preserve">Promotion to Associate Professor </w:t>
      </w:r>
    </w:p>
    <w:p w14:paraId="42E615CD" w14:textId="4FEA288D" w:rsidR="00316B1B" w:rsidRDefault="1C92F7F2" w:rsidP="2AF949AA">
      <w:pPr>
        <w:rPr>
          <w:rFonts w:ascii="Calibri" w:eastAsia="Calibri" w:hAnsi="Calibri" w:cs="Calibri"/>
          <w:sz w:val="24"/>
          <w:szCs w:val="24"/>
        </w:rPr>
      </w:pPr>
      <w:r w:rsidRPr="1F1F22CC">
        <w:rPr>
          <w:rFonts w:ascii="Calibri" w:eastAsia="Calibri" w:hAnsi="Calibri" w:cs="Calibri"/>
          <w:sz w:val="24"/>
          <w:szCs w:val="24"/>
        </w:rPr>
        <w:t xml:space="preserve">Candidates for promotion to Associate Professor should have demonstrated a positive trajectory of professional achievements that is based upon thoughtful reflection and assessment of their professional identity and scholarly plan. Candidates must show evidence of at least </w:t>
      </w:r>
      <w:r w:rsidR="2B965459" w:rsidRPr="1F1F22CC">
        <w:rPr>
          <w:rFonts w:ascii="Calibri" w:eastAsia="Calibri" w:hAnsi="Calibri" w:cs="Calibri"/>
          <w:sz w:val="24"/>
          <w:szCs w:val="24"/>
        </w:rPr>
        <w:t xml:space="preserve">one Tier 1 professional achievement example </w:t>
      </w:r>
      <w:r w:rsidR="4A8EE009" w:rsidRPr="1F1F22CC">
        <w:rPr>
          <w:rFonts w:ascii="Calibri" w:eastAsia="Calibri" w:hAnsi="Calibri" w:cs="Calibri"/>
          <w:sz w:val="24"/>
          <w:szCs w:val="24"/>
        </w:rPr>
        <w:t xml:space="preserve">listed below, and </w:t>
      </w:r>
      <w:r w:rsidR="5C322840" w:rsidRPr="1F1F22CC">
        <w:rPr>
          <w:rFonts w:ascii="Calibri" w:eastAsia="Calibri" w:hAnsi="Calibri" w:cs="Calibri"/>
          <w:sz w:val="24"/>
          <w:szCs w:val="24"/>
        </w:rPr>
        <w:t>at least</w:t>
      </w:r>
      <w:r w:rsidR="2B965459" w:rsidRPr="1F1F22CC">
        <w:rPr>
          <w:rFonts w:ascii="Calibri" w:eastAsia="Calibri" w:hAnsi="Calibri" w:cs="Calibri"/>
          <w:sz w:val="24"/>
          <w:szCs w:val="24"/>
        </w:rPr>
        <w:t xml:space="preserve"> </w:t>
      </w:r>
      <w:r w:rsidRPr="1F1F22CC">
        <w:rPr>
          <w:rFonts w:ascii="Calibri" w:eastAsia="Calibri" w:hAnsi="Calibri" w:cs="Calibri"/>
          <w:sz w:val="24"/>
          <w:szCs w:val="24"/>
        </w:rPr>
        <w:t xml:space="preserve">5-7 of the Tier 2 professional achievement examples listed </w:t>
      </w:r>
      <w:r w:rsidR="5A08C112" w:rsidRPr="1F1F22CC">
        <w:rPr>
          <w:rFonts w:ascii="Calibri" w:eastAsia="Calibri" w:hAnsi="Calibri" w:cs="Calibri"/>
          <w:sz w:val="24"/>
          <w:szCs w:val="24"/>
        </w:rPr>
        <w:t>below</w:t>
      </w:r>
      <w:r w:rsidR="1D9857FC" w:rsidRPr="1F1F22CC">
        <w:rPr>
          <w:rFonts w:ascii="Calibri" w:eastAsia="Calibri" w:hAnsi="Calibri" w:cs="Calibri"/>
          <w:sz w:val="24"/>
          <w:szCs w:val="24"/>
        </w:rPr>
        <w:t xml:space="preserve">. </w:t>
      </w:r>
      <w:r w:rsidRPr="1F1F22CC">
        <w:rPr>
          <w:rFonts w:ascii="Calibri" w:eastAsia="Calibri" w:hAnsi="Calibri" w:cs="Calibri"/>
          <w:sz w:val="24"/>
          <w:szCs w:val="24"/>
        </w:rPr>
        <w:t>Within Tier</w:t>
      </w:r>
      <w:r w:rsidR="5DF4F7D8" w:rsidRPr="1F1F22CC">
        <w:rPr>
          <w:rFonts w:ascii="Calibri" w:eastAsia="Calibri" w:hAnsi="Calibri" w:cs="Calibri"/>
          <w:sz w:val="24"/>
          <w:szCs w:val="24"/>
        </w:rPr>
        <w:t xml:space="preserve"> 2</w:t>
      </w:r>
      <w:r w:rsidRPr="1F1F22CC">
        <w:rPr>
          <w:rFonts w:ascii="Calibri" w:eastAsia="Calibri" w:hAnsi="Calibri" w:cs="Calibri"/>
          <w:sz w:val="24"/>
          <w:szCs w:val="24"/>
        </w:rPr>
        <w:t>, examples do not need to represent separate bullet points but</w:t>
      </w:r>
      <w:r w:rsidR="2924BC3F" w:rsidRPr="1F1F22CC">
        <w:rPr>
          <w:rFonts w:ascii="Calibri" w:eastAsia="Calibri" w:hAnsi="Calibri" w:cs="Calibri"/>
          <w:sz w:val="24"/>
          <w:szCs w:val="24"/>
        </w:rPr>
        <w:t xml:space="preserve"> </w:t>
      </w:r>
      <w:r w:rsidR="667407BF" w:rsidRPr="1F1F22CC">
        <w:rPr>
          <w:rFonts w:ascii="Calibri" w:eastAsia="Calibri" w:hAnsi="Calibri" w:cs="Calibri"/>
          <w:sz w:val="24"/>
          <w:szCs w:val="24"/>
        </w:rPr>
        <w:t>at least three bullet points need to be represented. Fo</w:t>
      </w:r>
      <w:r w:rsidRPr="1F1F22CC">
        <w:rPr>
          <w:rFonts w:ascii="Calibri" w:eastAsia="Calibri" w:hAnsi="Calibri" w:cs="Calibri"/>
          <w:sz w:val="24"/>
          <w:szCs w:val="24"/>
        </w:rPr>
        <w:t>r example, attending f</w:t>
      </w:r>
      <w:r w:rsidR="30935E1D" w:rsidRPr="1F1F22CC">
        <w:rPr>
          <w:rFonts w:ascii="Calibri" w:eastAsia="Calibri" w:hAnsi="Calibri" w:cs="Calibri"/>
          <w:sz w:val="24"/>
          <w:szCs w:val="24"/>
        </w:rPr>
        <w:t>our</w:t>
      </w:r>
      <w:r w:rsidRPr="1F1F22CC">
        <w:rPr>
          <w:rFonts w:ascii="Calibri" w:eastAsia="Calibri" w:hAnsi="Calibri" w:cs="Calibri"/>
          <w:sz w:val="24"/>
          <w:szCs w:val="24"/>
        </w:rPr>
        <w:t xml:space="preserve"> conferences</w:t>
      </w:r>
      <w:r w:rsidR="4E232C82" w:rsidRPr="1F1F22CC">
        <w:rPr>
          <w:rFonts w:ascii="Calibri" w:eastAsia="Calibri" w:hAnsi="Calibri" w:cs="Calibri"/>
          <w:sz w:val="24"/>
          <w:szCs w:val="24"/>
        </w:rPr>
        <w:t>,</w:t>
      </w:r>
      <w:r w:rsidR="4126701C" w:rsidRPr="1F1F22CC">
        <w:rPr>
          <w:rFonts w:ascii="Calibri" w:eastAsia="Calibri" w:hAnsi="Calibri" w:cs="Calibri"/>
          <w:sz w:val="24"/>
          <w:szCs w:val="24"/>
        </w:rPr>
        <w:t xml:space="preserve"> </w:t>
      </w:r>
      <w:r w:rsidR="4E7C904B" w:rsidRPr="1F1F22CC">
        <w:rPr>
          <w:rFonts w:ascii="Calibri" w:eastAsia="Calibri" w:hAnsi="Calibri" w:cs="Calibri"/>
          <w:sz w:val="24"/>
          <w:szCs w:val="24"/>
        </w:rPr>
        <w:t>re</w:t>
      </w:r>
      <w:r w:rsidRPr="1F1F22CC">
        <w:rPr>
          <w:rFonts w:ascii="Calibri" w:eastAsia="Calibri" w:hAnsi="Calibri" w:cs="Calibri"/>
          <w:sz w:val="24"/>
          <w:szCs w:val="24"/>
        </w:rPr>
        <w:t>viewing one article</w:t>
      </w:r>
      <w:r w:rsidR="21610B31" w:rsidRPr="1F1F22CC">
        <w:rPr>
          <w:rFonts w:ascii="Calibri" w:eastAsia="Calibri" w:hAnsi="Calibri" w:cs="Calibri"/>
          <w:sz w:val="24"/>
          <w:szCs w:val="24"/>
        </w:rPr>
        <w:t>, and working with an undergraduate on research</w:t>
      </w:r>
      <w:r w:rsidRPr="1F1F22CC">
        <w:rPr>
          <w:rFonts w:ascii="Calibri" w:eastAsia="Calibri" w:hAnsi="Calibri" w:cs="Calibri"/>
          <w:sz w:val="24"/>
          <w:szCs w:val="24"/>
        </w:rPr>
        <w:t xml:space="preserve"> would be evidence of six Tier 2 examples; solely attending six conferences would not be.</w:t>
      </w:r>
    </w:p>
    <w:p w14:paraId="1D150F07" w14:textId="7B11B1D2" w:rsidR="565E3869" w:rsidRDefault="565E3869" w:rsidP="666A0591">
      <w:pPr>
        <w:rPr>
          <w:rFonts w:ascii="Calibri" w:eastAsia="Calibri" w:hAnsi="Calibri" w:cs="Calibri"/>
          <w:color w:val="70AD47" w:themeColor="accent6"/>
          <w:sz w:val="24"/>
          <w:szCs w:val="24"/>
        </w:rPr>
      </w:pPr>
      <w:r w:rsidRPr="666A0591">
        <w:rPr>
          <w:rFonts w:ascii="Calibri" w:eastAsia="Calibri" w:hAnsi="Calibri" w:cs="Calibri"/>
          <w:sz w:val="24"/>
          <w:szCs w:val="24"/>
        </w:rPr>
        <w:t xml:space="preserve">Additionally, </w:t>
      </w:r>
      <w:r w:rsidR="54859420" w:rsidRPr="666A0591">
        <w:rPr>
          <w:rFonts w:ascii="Calibri" w:eastAsia="Calibri" w:hAnsi="Calibri" w:cs="Calibri"/>
          <w:sz w:val="24"/>
          <w:szCs w:val="24"/>
        </w:rPr>
        <w:t xml:space="preserve">if </w:t>
      </w:r>
      <w:r w:rsidRPr="666A0591">
        <w:rPr>
          <w:rFonts w:ascii="Calibri" w:eastAsia="Calibri" w:hAnsi="Calibri" w:cs="Calibri"/>
          <w:sz w:val="24"/>
          <w:szCs w:val="24"/>
        </w:rPr>
        <w:t xml:space="preserve">candidates for promotion to Associate Professor have </w:t>
      </w:r>
      <w:r w:rsidR="2D86D9CD" w:rsidRPr="666A0591">
        <w:rPr>
          <w:rFonts w:ascii="Calibri" w:eastAsia="Calibri" w:hAnsi="Calibri" w:cs="Calibri"/>
          <w:sz w:val="24"/>
          <w:szCs w:val="24"/>
        </w:rPr>
        <w:t xml:space="preserve">more </w:t>
      </w:r>
      <w:r w:rsidR="6850AB1A" w:rsidRPr="666A0591">
        <w:rPr>
          <w:rFonts w:ascii="Calibri" w:eastAsia="Calibri" w:hAnsi="Calibri" w:cs="Calibri"/>
          <w:sz w:val="24"/>
          <w:szCs w:val="24"/>
        </w:rPr>
        <w:t xml:space="preserve">than </w:t>
      </w:r>
      <w:r w:rsidR="7499A37C" w:rsidRPr="666A0591">
        <w:rPr>
          <w:rFonts w:ascii="Calibri" w:eastAsia="Calibri" w:hAnsi="Calibri" w:cs="Calibri"/>
          <w:sz w:val="24"/>
          <w:szCs w:val="24"/>
        </w:rPr>
        <w:t>one</w:t>
      </w:r>
      <w:r w:rsidR="6850AB1A" w:rsidRPr="666A0591">
        <w:rPr>
          <w:rFonts w:ascii="Calibri" w:eastAsia="Calibri" w:hAnsi="Calibri" w:cs="Calibri"/>
          <w:sz w:val="24"/>
          <w:szCs w:val="24"/>
        </w:rPr>
        <w:t xml:space="preserve"> </w:t>
      </w:r>
      <w:r w:rsidR="2D86D9CD" w:rsidRPr="666A0591">
        <w:rPr>
          <w:rFonts w:ascii="Calibri" w:eastAsia="Calibri" w:hAnsi="Calibri" w:cs="Calibri"/>
          <w:sz w:val="24"/>
          <w:szCs w:val="24"/>
        </w:rPr>
        <w:t xml:space="preserve">example from Tier 1, </w:t>
      </w:r>
      <w:r w:rsidR="09FF6A24" w:rsidRPr="666A0591">
        <w:rPr>
          <w:rFonts w:ascii="Calibri" w:eastAsia="Calibri" w:hAnsi="Calibri" w:cs="Calibri"/>
          <w:sz w:val="24"/>
          <w:szCs w:val="24"/>
        </w:rPr>
        <w:t>any</w:t>
      </w:r>
      <w:r w:rsidR="32C88FA6" w:rsidRPr="666A0591">
        <w:rPr>
          <w:rFonts w:ascii="Calibri" w:eastAsia="Calibri" w:hAnsi="Calibri" w:cs="Calibri"/>
          <w:sz w:val="24"/>
          <w:szCs w:val="24"/>
        </w:rPr>
        <w:t xml:space="preserve"> additional Tier 1 examples </w:t>
      </w:r>
      <w:r w:rsidR="3A2DA38A" w:rsidRPr="666A0591">
        <w:rPr>
          <w:rFonts w:ascii="Calibri" w:eastAsia="Calibri" w:hAnsi="Calibri" w:cs="Calibri"/>
          <w:sz w:val="24"/>
          <w:szCs w:val="24"/>
        </w:rPr>
        <w:t xml:space="preserve">beyond the requirement </w:t>
      </w:r>
      <w:r w:rsidR="32C88FA6" w:rsidRPr="666A0591">
        <w:rPr>
          <w:rFonts w:ascii="Calibri" w:eastAsia="Calibri" w:hAnsi="Calibri" w:cs="Calibri"/>
          <w:sz w:val="24"/>
          <w:szCs w:val="24"/>
        </w:rPr>
        <w:t xml:space="preserve">can be used towards the count of Tier 2 examples. </w:t>
      </w:r>
      <w:r w:rsidR="26F5904C" w:rsidRPr="666A0591">
        <w:rPr>
          <w:rFonts w:ascii="Calibri" w:eastAsia="Calibri" w:hAnsi="Calibri" w:cs="Calibri"/>
          <w:sz w:val="24"/>
          <w:szCs w:val="24"/>
        </w:rPr>
        <w:t xml:space="preserve">For example, </w:t>
      </w:r>
      <w:r w:rsidR="43A7B2B5" w:rsidRPr="666A0591">
        <w:rPr>
          <w:rFonts w:ascii="Calibri" w:eastAsia="Calibri" w:hAnsi="Calibri" w:cs="Calibri"/>
          <w:sz w:val="24"/>
          <w:szCs w:val="24"/>
        </w:rPr>
        <w:t>three</w:t>
      </w:r>
      <w:r w:rsidR="26F5904C" w:rsidRPr="666A0591">
        <w:rPr>
          <w:rFonts w:ascii="Calibri" w:eastAsia="Calibri" w:hAnsi="Calibri" w:cs="Calibri"/>
          <w:sz w:val="24"/>
          <w:szCs w:val="24"/>
        </w:rPr>
        <w:t xml:space="preserve"> pieces of evidence in Tier 1</w:t>
      </w:r>
      <w:r w:rsidR="3C4D1DD9" w:rsidRPr="666A0591">
        <w:rPr>
          <w:rFonts w:ascii="Calibri" w:eastAsia="Calibri" w:hAnsi="Calibri" w:cs="Calibri"/>
          <w:sz w:val="24"/>
          <w:szCs w:val="24"/>
        </w:rPr>
        <w:t xml:space="preserve"> </w:t>
      </w:r>
      <w:r w:rsidR="423DB8F1" w:rsidRPr="666A0591">
        <w:rPr>
          <w:rFonts w:ascii="Calibri" w:eastAsia="Calibri" w:hAnsi="Calibri" w:cs="Calibri"/>
          <w:sz w:val="24"/>
          <w:szCs w:val="24"/>
        </w:rPr>
        <w:t xml:space="preserve">could be considered as </w:t>
      </w:r>
      <w:r w:rsidR="39822621" w:rsidRPr="666A0591">
        <w:rPr>
          <w:rFonts w:ascii="Calibri" w:eastAsia="Calibri" w:hAnsi="Calibri" w:cs="Calibri"/>
          <w:sz w:val="24"/>
          <w:szCs w:val="24"/>
        </w:rPr>
        <w:t>one</w:t>
      </w:r>
      <w:r w:rsidR="423DB8F1" w:rsidRPr="666A0591">
        <w:rPr>
          <w:rFonts w:ascii="Calibri" w:eastAsia="Calibri" w:hAnsi="Calibri" w:cs="Calibri"/>
          <w:sz w:val="24"/>
          <w:szCs w:val="24"/>
        </w:rPr>
        <w:t xml:space="preserve"> Tier 1 example and </w:t>
      </w:r>
      <w:r w:rsidR="50F99BE3" w:rsidRPr="666A0591">
        <w:rPr>
          <w:rFonts w:ascii="Calibri" w:eastAsia="Calibri" w:hAnsi="Calibri" w:cs="Calibri"/>
          <w:sz w:val="24"/>
          <w:szCs w:val="24"/>
        </w:rPr>
        <w:t>two</w:t>
      </w:r>
      <w:r w:rsidR="423DB8F1" w:rsidRPr="666A0591">
        <w:rPr>
          <w:rFonts w:ascii="Calibri" w:eastAsia="Calibri" w:hAnsi="Calibri" w:cs="Calibri"/>
          <w:sz w:val="24"/>
          <w:szCs w:val="24"/>
        </w:rPr>
        <w:t xml:space="preserve"> Tier 2 examples if the candidate deems that </w:t>
      </w:r>
      <w:r w:rsidR="07D268A6" w:rsidRPr="666A0591">
        <w:rPr>
          <w:rFonts w:ascii="Calibri" w:eastAsia="Calibri" w:hAnsi="Calibri" w:cs="Calibri"/>
          <w:sz w:val="24"/>
          <w:szCs w:val="24"/>
        </w:rPr>
        <w:t xml:space="preserve">to be </w:t>
      </w:r>
      <w:r w:rsidR="423DB8F1" w:rsidRPr="666A0591">
        <w:rPr>
          <w:rFonts w:ascii="Calibri" w:eastAsia="Calibri" w:hAnsi="Calibri" w:cs="Calibri"/>
          <w:sz w:val="24"/>
          <w:szCs w:val="24"/>
        </w:rPr>
        <w:t>an appropriate representa</w:t>
      </w:r>
      <w:r w:rsidR="66D0D05D" w:rsidRPr="666A0591">
        <w:rPr>
          <w:rFonts w:ascii="Calibri" w:eastAsia="Calibri" w:hAnsi="Calibri" w:cs="Calibri"/>
          <w:sz w:val="24"/>
          <w:szCs w:val="24"/>
        </w:rPr>
        <w:t>ti</w:t>
      </w:r>
      <w:r w:rsidR="423DB8F1" w:rsidRPr="666A0591">
        <w:rPr>
          <w:rFonts w:ascii="Calibri" w:eastAsia="Calibri" w:hAnsi="Calibri" w:cs="Calibri"/>
          <w:sz w:val="24"/>
          <w:szCs w:val="24"/>
        </w:rPr>
        <w:t xml:space="preserve">on of their professional achievements, </w:t>
      </w:r>
      <w:r w:rsidR="7A7C07BE" w:rsidRPr="666A0591">
        <w:rPr>
          <w:rFonts w:ascii="Calibri" w:eastAsia="Calibri" w:hAnsi="Calibri" w:cs="Calibri"/>
          <w:sz w:val="24"/>
          <w:szCs w:val="24"/>
        </w:rPr>
        <w:t xml:space="preserve">thus decreasing </w:t>
      </w:r>
      <w:r w:rsidR="3C4D1DD9" w:rsidRPr="666A0591">
        <w:rPr>
          <w:rFonts w:ascii="Calibri" w:eastAsia="Calibri" w:hAnsi="Calibri" w:cs="Calibri"/>
          <w:sz w:val="24"/>
          <w:szCs w:val="24"/>
        </w:rPr>
        <w:t xml:space="preserve">the number of examples needed from Tier 2 by </w:t>
      </w:r>
      <w:r w:rsidR="66D0A7F4" w:rsidRPr="666A0591">
        <w:rPr>
          <w:rFonts w:ascii="Calibri" w:eastAsia="Calibri" w:hAnsi="Calibri" w:cs="Calibri"/>
          <w:sz w:val="24"/>
          <w:szCs w:val="24"/>
        </w:rPr>
        <w:t>2</w:t>
      </w:r>
      <w:r w:rsidR="3C4D1DD9" w:rsidRPr="666A0591">
        <w:rPr>
          <w:rFonts w:ascii="Calibri" w:eastAsia="Calibri" w:hAnsi="Calibri" w:cs="Calibri"/>
          <w:sz w:val="24"/>
          <w:szCs w:val="24"/>
        </w:rPr>
        <w:t>.</w:t>
      </w:r>
    </w:p>
    <w:tbl>
      <w:tblPr>
        <w:tblStyle w:val="TableGrid"/>
        <w:tblW w:w="0" w:type="auto"/>
        <w:tblInd w:w="720" w:type="dxa"/>
        <w:tblLayout w:type="fixed"/>
        <w:tblLook w:val="06A0" w:firstRow="1" w:lastRow="0" w:firstColumn="1" w:lastColumn="0" w:noHBand="1" w:noVBand="1"/>
      </w:tblPr>
      <w:tblGrid>
        <w:gridCol w:w="4050"/>
        <w:gridCol w:w="4275"/>
      </w:tblGrid>
      <w:tr w:rsidR="6B3E84FA" w14:paraId="4A9D330D" w14:textId="77777777" w:rsidTr="666A0591">
        <w:trPr>
          <w:trHeight w:val="300"/>
        </w:trPr>
        <w:tc>
          <w:tcPr>
            <w:tcW w:w="8325" w:type="dxa"/>
            <w:gridSpan w:val="2"/>
            <w:shd w:val="clear" w:color="auto" w:fill="F2F2F2" w:themeFill="background1" w:themeFillShade="F2"/>
          </w:tcPr>
          <w:p w14:paraId="234D6FE0" w14:textId="7A1C793C" w:rsidR="63885E23" w:rsidRDefault="63885E23" w:rsidP="6B3E84FA">
            <w:pPr>
              <w:jc w:val="center"/>
              <w:rPr>
                <w:rFonts w:ascii="Calibri" w:eastAsia="Calibri" w:hAnsi="Calibri" w:cs="Calibri"/>
                <w:b/>
                <w:bCs/>
                <w:sz w:val="24"/>
                <w:szCs w:val="24"/>
              </w:rPr>
            </w:pPr>
            <w:r w:rsidRPr="6B3E84FA">
              <w:rPr>
                <w:rFonts w:ascii="Calibri" w:eastAsia="Calibri" w:hAnsi="Calibri" w:cs="Calibri"/>
                <w:b/>
                <w:bCs/>
                <w:sz w:val="24"/>
                <w:szCs w:val="24"/>
              </w:rPr>
              <w:t>Promotion to Associate Professor</w:t>
            </w:r>
          </w:p>
        </w:tc>
      </w:tr>
      <w:tr w:rsidR="6B3E84FA" w14:paraId="153457DE" w14:textId="77777777" w:rsidTr="666A0591">
        <w:trPr>
          <w:trHeight w:val="300"/>
        </w:trPr>
        <w:tc>
          <w:tcPr>
            <w:tcW w:w="4050" w:type="dxa"/>
            <w:shd w:val="clear" w:color="auto" w:fill="F2F2F2" w:themeFill="background1" w:themeFillShade="F2"/>
          </w:tcPr>
          <w:p w14:paraId="37052174" w14:textId="04AB4A85" w:rsidR="108D1F4B" w:rsidRDefault="108D1F4B" w:rsidP="6B3E84FA">
            <w:pPr>
              <w:jc w:val="center"/>
              <w:rPr>
                <w:rFonts w:ascii="Calibri" w:eastAsia="Calibri" w:hAnsi="Calibri" w:cs="Calibri"/>
                <w:b/>
                <w:bCs/>
                <w:sz w:val="24"/>
                <w:szCs w:val="24"/>
              </w:rPr>
            </w:pPr>
            <w:r w:rsidRPr="6B3E84FA">
              <w:rPr>
                <w:rFonts w:ascii="Calibri" w:eastAsia="Calibri" w:hAnsi="Calibri" w:cs="Calibri"/>
                <w:b/>
                <w:bCs/>
                <w:sz w:val="24"/>
                <w:szCs w:val="24"/>
              </w:rPr>
              <w:t>Tier 1</w:t>
            </w:r>
          </w:p>
        </w:tc>
        <w:tc>
          <w:tcPr>
            <w:tcW w:w="4275" w:type="dxa"/>
            <w:shd w:val="clear" w:color="auto" w:fill="F2F2F2" w:themeFill="background1" w:themeFillShade="F2"/>
          </w:tcPr>
          <w:p w14:paraId="0E62C9E8" w14:textId="61552035" w:rsidR="108D1F4B" w:rsidRDefault="108D1F4B" w:rsidP="6B3E84FA">
            <w:pPr>
              <w:jc w:val="center"/>
              <w:rPr>
                <w:rFonts w:ascii="Calibri" w:eastAsia="Calibri" w:hAnsi="Calibri" w:cs="Calibri"/>
                <w:b/>
                <w:bCs/>
                <w:sz w:val="24"/>
                <w:szCs w:val="24"/>
              </w:rPr>
            </w:pPr>
            <w:r w:rsidRPr="6B3E84FA">
              <w:rPr>
                <w:rFonts w:ascii="Calibri" w:eastAsia="Calibri" w:hAnsi="Calibri" w:cs="Calibri"/>
                <w:b/>
                <w:bCs/>
                <w:sz w:val="24"/>
                <w:szCs w:val="24"/>
              </w:rPr>
              <w:t>Tier 2</w:t>
            </w:r>
          </w:p>
        </w:tc>
      </w:tr>
      <w:tr w:rsidR="6B3E84FA" w14:paraId="1823D875" w14:textId="77777777" w:rsidTr="666A0591">
        <w:trPr>
          <w:trHeight w:val="300"/>
        </w:trPr>
        <w:tc>
          <w:tcPr>
            <w:tcW w:w="4050" w:type="dxa"/>
          </w:tcPr>
          <w:p w14:paraId="7D784848" w14:textId="2FB38730" w:rsidR="108D1F4B" w:rsidRDefault="2BFF7352" w:rsidP="1F1F22CC">
            <w:pPr>
              <w:spacing w:line="259" w:lineRule="auto"/>
              <w:rPr>
                <w:rFonts w:ascii="Calibri" w:eastAsia="Calibri" w:hAnsi="Calibri" w:cs="Calibri"/>
                <w:sz w:val="24"/>
                <w:szCs w:val="24"/>
              </w:rPr>
            </w:pPr>
            <w:r w:rsidRPr="666A0591">
              <w:rPr>
                <w:rFonts w:ascii="Calibri" w:eastAsia="Calibri" w:hAnsi="Calibri" w:cs="Calibri"/>
                <w:sz w:val="24"/>
                <w:szCs w:val="24"/>
              </w:rPr>
              <w:t>1 example minimum</w:t>
            </w:r>
          </w:p>
        </w:tc>
        <w:tc>
          <w:tcPr>
            <w:tcW w:w="4275" w:type="dxa"/>
          </w:tcPr>
          <w:p w14:paraId="3D755422" w14:textId="4EF86E31" w:rsidR="108D1F4B" w:rsidRDefault="22953D1C" w:rsidP="6B3E84FA">
            <w:pPr>
              <w:rPr>
                <w:rFonts w:ascii="Calibri" w:eastAsia="Calibri" w:hAnsi="Calibri" w:cs="Calibri"/>
                <w:sz w:val="24"/>
                <w:szCs w:val="24"/>
              </w:rPr>
            </w:pPr>
            <w:r w:rsidRPr="666A0591">
              <w:rPr>
                <w:rFonts w:ascii="Calibri" w:eastAsia="Calibri" w:hAnsi="Calibri" w:cs="Calibri"/>
                <w:sz w:val="24"/>
                <w:szCs w:val="24"/>
              </w:rPr>
              <w:t>5-7 examples</w:t>
            </w:r>
            <w:r w:rsidR="411FFFFE" w:rsidRPr="666A0591">
              <w:rPr>
                <w:rFonts w:ascii="Calibri" w:eastAsia="Calibri" w:hAnsi="Calibri" w:cs="Calibri"/>
                <w:sz w:val="24"/>
                <w:szCs w:val="24"/>
              </w:rPr>
              <w:t xml:space="preserve"> from three different areas</w:t>
            </w:r>
          </w:p>
        </w:tc>
      </w:tr>
    </w:tbl>
    <w:p w14:paraId="4E42C13D" w14:textId="32436A65" w:rsidR="7D46F7F5" w:rsidRDefault="7D46F7F5"/>
    <w:p w14:paraId="5E686847" w14:textId="1F765935" w:rsidR="00316B1B" w:rsidRDefault="2FCAB107" w:rsidP="46A020A9">
      <w:r w:rsidRPr="1CB7E602">
        <w:rPr>
          <w:rFonts w:ascii="Calibri" w:eastAsia="Calibri" w:hAnsi="Calibri" w:cs="Calibri"/>
          <w:sz w:val="24"/>
          <w:szCs w:val="24"/>
        </w:rPr>
        <w:t xml:space="preserve"> </w:t>
      </w:r>
    </w:p>
    <w:p w14:paraId="4A4BB0B7" w14:textId="36F6C767" w:rsidR="00316B1B" w:rsidRDefault="16501180" w:rsidP="46A020A9">
      <w:r w:rsidRPr="46A020A9">
        <w:rPr>
          <w:rFonts w:ascii="Calibri" w:eastAsia="Calibri" w:hAnsi="Calibri" w:cs="Calibri"/>
          <w:sz w:val="24"/>
          <w:szCs w:val="24"/>
          <w:u w:val="single"/>
        </w:rPr>
        <w:t>Promotion to Professor</w:t>
      </w:r>
    </w:p>
    <w:p w14:paraId="09B3765E" w14:textId="1492942B" w:rsidR="2AF949AA" w:rsidRDefault="1C92F7F2" w:rsidP="3D63CB14">
      <w:pPr>
        <w:rPr>
          <w:rFonts w:ascii="Calibri" w:eastAsia="Calibri" w:hAnsi="Calibri" w:cs="Calibri"/>
          <w:sz w:val="24"/>
          <w:szCs w:val="24"/>
        </w:rPr>
      </w:pPr>
      <w:r w:rsidRPr="666A0591">
        <w:rPr>
          <w:rFonts w:ascii="Calibri" w:eastAsia="Calibri" w:hAnsi="Calibri" w:cs="Calibri"/>
          <w:sz w:val="24"/>
          <w:szCs w:val="24"/>
        </w:rPr>
        <w:t>Candidates for promotion to Full Professor must meet the criterion of special merit. The Education Department expects candidates at this level to provide evidence of a continued and ongoing program of professional achievement. Special merit in the area of professional achievements can manifest itself in a variety of ways and is generally evidenced by greater visibility, recognition and continued scholarly engagement. Candidates must show evidence of</w:t>
      </w:r>
      <w:r w:rsidR="7721188B" w:rsidRPr="666A0591">
        <w:rPr>
          <w:rFonts w:ascii="Calibri" w:eastAsia="Calibri" w:hAnsi="Calibri" w:cs="Calibri"/>
          <w:sz w:val="24"/>
          <w:szCs w:val="24"/>
        </w:rPr>
        <w:t xml:space="preserve"> at least 2-4 of the Tier 1 professional achievement examples since their last promotion and </w:t>
      </w:r>
      <w:r w:rsidRPr="666A0591">
        <w:rPr>
          <w:rFonts w:ascii="Calibri" w:eastAsia="Calibri" w:hAnsi="Calibri" w:cs="Calibri"/>
          <w:sz w:val="24"/>
          <w:szCs w:val="24"/>
        </w:rPr>
        <w:t xml:space="preserve">at least 5-7 of the Tier 2 professional achievement examples since their last </w:t>
      </w:r>
      <w:r w:rsidR="746AE2EE" w:rsidRPr="666A0591">
        <w:rPr>
          <w:rFonts w:ascii="Calibri" w:eastAsia="Calibri" w:hAnsi="Calibri" w:cs="Calibri"/>
          <w:sz w:val="24"/>
          <w:szCs w:val="24"/>
        </w:rPr>
        <w:t>promotion.</w:t>
      </w:r>
      <w:r w:rsidRPr="666A0591">
        <w:rPr>
          <w:rFonts w:ascii="Calibri" w:eastAsia="Calibri" w:hAnsi="Calibri" w:cs="Calibri"/>
          <w:sz w:val="24"/>
          <w:szCs w:val="24"/>
        </w:rPr>
        <w:t xml:space="preserve"> </w:t>
      </w:r>
      <w:r w:rsidR="25A4C54E" w:rsidRPr="666A0591">
        <w:rPr>
          <w:rFonts w:ascii="Calibri" w:eastAsia="Calibri" w:hAnsi="Calibri" w:cs="Calibri"/>
          <w:sz w:val="24"/>
          <w:szCs w:val="24"/>
        </w:rPr>
        <w:t xml:space="preserve">Within </w:t>
      </w:r>
      <w:r w:rsidR="25A4C54E" w:rsidRPr="666A0591">
        <w:rPr>
          <w:rFonts w:ascii="Calibri" w:eastAsia="Calibri" w:hAnsi="Calibri" w:cs="Calibri"/>
          <w:sz w:val="24"/>
          <w:szCs w:val="24"/>
        </w:rPr>
        <w:lastRenderedPageBreak/>
        <w:t xml:space="preserve">Tier 1 examples need to represent at least two different bullet points. </w:t>
      </w:r>
      <w:r w:rsidR="42E6C856" w:rsidRPr="666A0591">
        <w:rPr>
          <w:rFonts w:ascii="Calibri" w:eastAsia="Calibri" w:hAnsi="Calibri" w:cs="Calibri"/>
          <w:sz w:val="24"/>
          <w:szCs w:val="24"/>
        </w:rPr>
        <w:t xml:space="preserve">Within Tier 2, examples do not need to represent separate bullet points but at least three bullet points need to be represented. For example, attending four conferences, reviewing one article, and working with an undergraduate on research would be evidence of six Tier 2 examples; solely attending six conferences would not be. </w:t>
      </w:r>
    </w:p>
    <w:p w14:paraId="43255371" w14:textId="6F5031C8" w:rsidR="1DBA30E9" w:rsidRDefault="1DBA30E9" w:rsidP="3941B942">
      <w:pPr>
        <w:rPr>
          <w:rFonts w:ascii="Calibri" w:eastAsia="Calibri" w:hAnsi="Calibri" w:cs="Calibri"/>
          <w:color w:val="70AD47" w:themeColor="accent6"/>
          <w:sz w:val="24"/>
          <w:szCs w:val="24"/>
        </w:rPr>
      </w:pPr>
      <w:r w:rsidRPr="3941B942">
        <w:rPr>
          <w:rFonts w:ascii="Calibri" w:eastAsia="Calibri" w:hAnsi="Calibri" w:cs="Calibri"/>
          <w:sz w:val="24"/>
          <w:szCs w:val="24"/>
        </w:rPr>
        <w:t xml:space="preserve">Additionally, if candidates for promotion to Full Professor have more than 4 examples </w:t>
      </w:r>
      <w:r w:rsidR="62417A5C" w:rsidRPr="3941B942">
        <w:rPr>
          <w:rFonts w:ascii="Calibri" w:eastAsia="Calibri" w:hAnsi="Calibri" w:cs="Calibri"/>
          <w:sz w:val="24"/>
          <w:szCs w:val="24"/>
        </w:rPr>
        <w:t xml:space="preserve">of evidence from Tier 1, </w:t>
      </w:r>
      <w:r w:rsidR="4BD07DFA" w:rsidRPr="3941B942">
        <w:rPr>
          <w:rFonts w:ascii="Calibri" w:eastAsia="Calibri" w:hAnsi="Calibri" w:cs="Calibri"/>
          <w:sz w:val="24"/>
          <w:szCs w:val="24"/>
        </w:rPr>
        <w:t>any additional Tier 1 examples beyond the requirement can be used towards the count of Tier 2 examples. For example, five pieces of evidence in Tier 1 could be considered as four Tier 1 examples and one Tier 2 example if the candidate deems</w:t>
      </w:r>
      <w:r w:rsidR="6943A3A2" w:rsidRPr="3941B942">
        <w:rPr>
          <w:rFonts w:ascii="Calibri" w:eastAsia="Calibri" w:hAnsi="Calibri" w:cs="Calibri"/>
          <w:sz w:val="24"/>
          <w:szCs w:val="24"/>
        </w:rPr>
        <w:t xml:space="preserve"> that </w:t>
      </w:r>
      <w:r w:rsidR="454CD0C6" w:rsidRPr="3941B942">
        <w:rPr>
          <w:rFonts w:ascii="Calibri" w:eastAsia="Calibri" w:hAnsi="Calibri" w:cs="Calibri"/>
          <w:sz w:val="24"/>
          <w:szCs w:val="24"/>
        </w:rPr>
        <w:t xml:space="preserve">to be </w:t>
      </w:r>
      <w:r w:rsidR="6943A3A2" w:rsidRPr="3941B942">
        <w:rPr>
          <w:rFonts w:ascii="Calibri" w:eastAsia="Calibri" w:hAnsi="Calibri" w:cs="Calibri"/>
          <w:sz w:val="24"/>
          <w:szCs w:val="24"/>
        </w:rPr>
        <w:t>an appropriate representation of their professional achievements, thus decreasing the number of examples needed from Tier 2 by 1.</w:t>
      </w:r>
    </w:p>
    <w:tbl>
      <w:tblPr>
        <w:tblStyle w:val="TableGrid"/>
        <w:tblW w:w="0" w:type="auto"/>
        <w:tblInd w:w="720" w:type="dxa"/>
        <w:tblLayout w:type="fixed"/>
        <w:tblLook w:val="06A0" w:firstRow="1" w:lastRow="0" w:firstColumn="1" w:lastColumn="0" w:noHBand="1" w:noVBand="1"/>
      </w:tblPr>
      <w:tblGrid>
        <w:gridCol w:w="4050"/>
        <w:gridCol w:w="4275"/>
      </w:tblGrid>
      <w:tr w:rsidR="6B3E84FA" w14:paraId="5703AFBE" w14:textId="77777777" w:rsidTr="7D46F7F5">
        <w:trPr>
          <w:trHeight w:val="300"/>
        </w:trPr>
        <w:tc>
          <w:tcPr>
            <w:tcW w:w="8325" w:type="dxa"/>
            <w:gridSpan w:val="2"/>
            <w:shd w:val="clear" w:color="auto" w:fill="F2F2F2" w:themeFill="background1" w:themeFillShade="F2"/>
          </w:tcPr>
          <w:p w14:paraId="5F797894" w14:textId="1D17BB1B" w:rsidR="0435EB8B" w:rsidRDefault="0435EB8B" w:rsidP="6B3E84FA">
            <w:pPr>
              <w:jc w:val="center"/>
              <w:rPr>
                <w:rFonts w:ascii="Calibri" w:eastAsia="Calibri" w:hAnsi="Calibri" w:cs="Calibri"/>
                <w:b/>
                <w:bCs/>
                <w:sz w:val="24"/>
                <w:szCs w:val="24"/>
              </w:rPr>
            </w:pPr>
            <w:r w:rsidRPr="6B3E84FA">
              <w:rPr>
                <w:rFonts w:ascii="Calibri" w:eastAsia="Calibri" w:hAnsi="Calibri" w:cs="Calibri"/>
                <w:b/>
                <w:bCs/>
                <w:sz w:val="24"/>
                <w:szCs w:val="24"/>
              </w:rPr>
              <w:t>Promotion to Full Professor</w:t>
            </w:r>
          </w:p>
        </w:tc>
      </w:tr>
      <w:tr w:rsidR="6B3E84FA" w14:paraId="7DBD61FF" w14:textId="77777777" w:rsidTr="7D46F7F5">
        <w:trPr>
          <w:trHeight w:val="300"/>
        </w:trPr>
        <w:tc>
          <w:tcPr>
            <w:tcW w:w="4050" w:type="dxa"/>
            <w:shd w:val="clear" w:color="auto" w:fill="F2F2F2" w:themeFill="background1" w:themeFillShade="F2"/>
          </w:tcPr>
          <w:p w14:paraId="24687A7D" w14:textId="04AB4A85" w:rsidR="6B3E84FA" w:rsidRDefault="6B3E84FA" w:rsidP="6B3E84FA">
            <w:pPr>
              <w:jc w:val="center"/>
              <w:rPr>
                <w:rFonts w:ascii="Calibri" w:eastAsia="Calibri" w:hAnsi="Calibri" w:cs="Calibri"/>
                <w:b/>
                <w:bCs/>
                <w:sz w:val="24"/>
                <w:szCs w:val="24"/>
              </w:rPr>
            </w:pPr>
            <w:r w:rsidRPr="6B3E84FA">
              <w:rPr>
                <w:rFonts w:ascii="Calibri" w:eastAsia="Calibri" w:hAnsi="Calibri" w:cs="Calibri"/>
                <w:b/>
                <w:bCs/>
                <w:sz w:val="24"/>
                <w:szCs w:val="24"/>
              </w:rPr>
              <w:t>Tier 1</w:t>
            </w:r>
          </w:p>
        </w:tc>
        <w:tc>
          <w:tcPr>
            <w:tcW w:w="4275" w:type="dxa"/>
            <w:shd w:val="clear" w:color="auto" w:fill="F2F2F2" w:themeFill="background1" w:themeFillShade="F2"/>
          </w:tcPr>
          <w:p w14:paraId="2D7C0AE4" w14:textId="61552035" w:rsidR="6B3E84FA" w:rsidRDefault="6B3E84FA" w:rsidP="6B3E84FA">
            <w:pPr>
              <w:jc w:val="center"/>
              <w:rPr>
                <w:rFonts w:ascii="Calibri" w:eastAsia="Calibri" w:hAnsi="Calibri" w:cs="Calibri"/>
                <w:b/>
                <w:bCs/>
                <w:sz w:val="24"/>
                <w:szCs w:val="24"/>
              </w:rPr>
            </w:pPr>
            <w:r w:rsidRPr="6B3E84FA">
              <w:rPr>
                <w:rFonts w:ascii="Calibri" w:eastAsia="Calibri" w:hAnsi="Calibri" w:cs="Calibri"/>
                <w:b/>
                <w:bCs/>
                <w:sz w:val="24"/>
                <w:szCs w:val="24"/>
              </w:rPr>
              <w:t>Tier 2</w:t>
            </w:r>
          </w:p>
        </w:tc>
      </w:tr>
      <w:tr w:rsidR="6B3E84FA" w14:paraId="66D7CF29" w14:textId="77777777" w:rsidTr="7D46F7F5">
        <w:trPr>
          <w:trHeight w:val="300"/>
        </w:trPr>
        <w:tc>
          <w:tcPr>
            <w:tcW w:w="4050" w:type="dxa"/>
          </w:tcPr>
          <w:p w14:paraId="7B8B4971" w14:textId="5F5A91AE" w:rsidR="3FAEA217" w:rsidRDefault="13FBDEB5" w:rsidP="6B3E84FA">
            <w:pPr>
              <w:spacing w:line="259" w:lineRule="auto"/>
            </w:pPr>
            <w:r w:rsidRPr="2AF949AA">
              <w:rPr>
                <w:rFonts w:ascii="Calibri" w:eastAsia="Calibri" w:hAnsi="Calibri" w:cs="Calibri"/>
                <w:sz w:val="24"/>
                <w:szCs w:val="24"/>
              </w:rPr>
              <w:t>2-4 examples</w:t>
            </w:r>
            <w:r w:rsidR="7285E422" w:rsidRPr="2AF949AA">
              <w:rPr>
                <w:rFonts w:ascii="Calibri" w:eastAsia="Calibri" w:hAnsi="Calibri" w:cs="Calibri"/>
                <w:sz w:val="24"/>
                <w:szCs w:val="24"/>
              </w:rPr>
              <w:t xml:space="preserve"> from two different areas</w:t>
            </w:r>
          </w:p>
        </w:tc>
        <w:tc>
          <w:tcPr>
            <w:tcW w:w="4275" w:type="dxa"/>
          </w:tcPr>
          <w:p w14:paraId="136A9386" w14:textId="3DFA4EF9" w:rsidR="6B3E84FA" w:rsidRDefault="6B3E84FA" w:rsidP="6B3E84FA">
            <w:pPr>
              <w:rPr>
                <w:rFonts w:ascii="Calibri" w:eastAsia="Calibri" w:hAnsi="Calibri" w:cs="Calibri"/>
                <w:sz w:val="24"/>
                <w:szCs w:val="24"/>
              </w:rPr>
            </w:pPr>
            <w:r w:rsidRPr="2AF949AA">
              <w:rPr>
                <w:rFonts w:ascii="Calibri" w:eastAsia="Calibri" w:hAnsi="Calibri" w:cs="Calibri"/>
                <w:sz w:val="24"/>
                <w:szCs w:val="24"/>
              </w:rPr>
              <w:t>5-7 examples</w:t>
            </w:r>
            <w:r w:rsidR="15464828" w:rsidRPr="2AF949AA">
              <w:rPr>
                <w:rFonts w:ascii="Calibri" w:eastAsia="Calibri" w:hAnsi="Calibri" w:cs="Calibri"/>
                <w:sz w:val="24"/>
                <w:szCs w:val="24"/>
              </w:rPr>
              <w:t xml:space="preserve"> from three different areas</w:t>
            </w:r>
          </w:p>
        </w:tc>
      </w:tr>
    </w:tbl>
    <w:p w14:paraId="0FC6645B" w14:textId="1CBFD393" w:rsidR="7D46F7F5" w:rsidRDefault="7D46F7F5"/>
    <w:p w14:paraId="4D4572A4" w14:textId="6AFCBE72" w:rsidR="00316B1B" w:rsidRDefault="00316B1B" w:rsidP="6B3E84FA">
      <w:pPr>
        <w:rPr>
          <w:rFonts w:ascii="Calibri" w:eastAsia="Calibri" w:hAnsi="Calibri" w:cs="Calibri"/>
          <w:sz w:val="24"/>
          <w:szCs w:val="24"/>
        </w:rPr>
      </w:pPr>
    </w:p>
    <w:p w14:paraId="34129379" w14:textId="2099ED39" w:rsidR="00316B1B" w:rsidRDefault="2FCAB107" w:rsidP="2FC4D52D">
      <w:pPr>
        <w:pStyle w:val="Heading2"/>
      </w:pPr>
      <w:bookmarkStart w:id="22" w:name="_Toc1128533830"/>
      <w:r>
        <w:t>4.B Evidence of Professional Achievements</w:t>
      </w:r>
      <w:bookmarkEnd w:id="22"/>
    </w:p>
    <w:p w14:paraId="5C0FA067" w14:textId="2CC0BDE9" w:rsidR="4219BDA8" w:rsidRDefault="4219BDA8" w:rsidP="2AF949AA">
      <w:pPr>
        <w:rPr>
          <w:rFonts w:ascii="Calibri" w:eastAsia="Calibri" w:hAnsi="Calibri" w:cs="Calibri"/>
          <w:sz w:val="24"/>
          <w:szCs w:val="24"/>
        </w:rPr>
      </w:pPr>
    </w:p>
    <w:p w14:paraId="64DCCDB7" w14:textId="56CEF452" w:rsidR="1A78546A" w:rsidRDefault="1A78546A" w:rsidP="2AF949AA">
      <w:pPr>
        <w:rPr>
          <w:rFonts w:ascii="Calibri" w:eastAsia="Calibri" w:hAnsi="Calibri" w:cs="Calibri"/>
          <w:sz w:val="24"/>
          <w:szCs w:val="24"/>
        </w:rPr>
      </w:pPr>
      <w:r w:rsidRPr="1F1F22CC">
        <w:rPr>
          <w:rFonts w:ascii="Calibri" w:eastAsia="Calibri" w:hAnsi="Calibri" w:cs="Calibri"/>
          <w:sz w:val="24"/>
          <w:szCs w:val="24"/>
        </w:rPr>
        <w:t xml:space="preserve">When seeking to understand and clarify the examples of professional achievements listed in Section IV.6.1.2 of the Faculty Handbook (see </w:t>
      </w:r>
      <w:r w:rsidR="657776D4" w:rsidRPr="1F1F22CC">
        <w:rPr>
          <w:rFonts w:ascii="Calibri" w:eastAsia="Calibri" w:hAnsi="Calibri" w:cs="Calibri"/>
          <w:sz w:val="24"/>
          <w:szCs w:val="24"/>
        </w:rPr>
        <w:t>above</w:t>
      </w:r>
      <w:r w:rsidRPr="1F1F22CC">
        <w:rPr>
          <w:rFonts w:ascii="Calibri" w:eastAsia="Calibri" w:hAnsi="Calibri" w:cs="Calibri"/>
          <w:sz w:val="24"/>
          <w:szCs w:val="24"/>
        </w:rPr>
        <w:t>), the Education Department views the list within the context of the discipline of teacher education and the achievements not only common to our field but also the ways we value disseminating scholarly knowledge. To clarify examples of professional achievements valued by the Education Department, common measures of a faculty member’s professional achievements can be categorized across two tiers. The lists below are not exhaustive, and they are not meant to serve as a checklist. Within each tier, the order of examples does not indicate any prioritization of elements of one’s Professional Achievements.</w:t>
      </w:r>
    </w:p>
    <w:p w14:paraId="37C4CA5C" w14:textId="1A253440" w:rsidR="00316B1B" w:rsidRDefault="13B7A513" w:rsidP="1F1F22CC">
      <w:pPr>
        <w:rPr>
          <w:rFonts w:ascii="Calibri" w:eastAsia="Calibri" w:hAnsi="Calibri" w:cs="Calibri"/>
          <w:sz w:val="24"/>
          <w:szCs w:val="24"/>
        </w:rPr>
      </w:pPr>
      <w:r w:rsidRPr="1F1F22CC">
        <w:rPr>
          <w:rFonts w:ascii="Calibri" w:eastAsia="Calibri" w:hAnsi="Calibri" w:cs="Calibri"/>
          <w:sz w:val="24"/>
          <w:szCs w:val="24"/>
        </w:rPr>
        <w:t xml:space="preserve">The Education Department values collaboration and recognizes that it is not uncommon for publications and presentations to be the work of multiple authors or contributors. The Education Department acknowledges that the order in which authors or presenters are listed is not necessarily directly related to the relative contributions of each collaborator. It is incumbent upon the candidate to explain the role of any collaborators in joint ventures.  </w:t>
      </w:r>
    </w:p>
    <w:p w14:paraId="4BCB2CAB" w14:textId="3FBB0FD8" w:rsidR="00316B1B" w:rsidRDefault="00316B1B" w:rsidP="1F1F22CC">
      <w:pPr>
        <w:rPr>
          <w:rFonts w:ascii="Calibri" w:eastAsia="Calibri" w:hAnsi="Calibri" w:cs="Calibri"/>
          <w:sz w:val="24"/>
          <w:szCs w:val="24"/>
        </w:rPr>
      </w:pPr>
    </w:p>
    <w:p w14:paraId="66229305" w14:textId="594646DB" w:rsidR="00316B1B" w:rsidRDefault="2FCAB107" w:rsidP="6B3E84FA">
      <w:pPr>
        <w:pStyle w:val="Heading3"/>
      </w:pPr>
      <w:bookmarkStart w:id="23" w:name="_Toc402755586"/>
      <w:r>
        <w:t>Tier 1 Evidence</w:t>
      </w:r>
      <w:bookmarkEnd w:id="23"/>
      <w:r>
        <w:t xml:space="preserve"> </w:t>
      </w:r>
    </w:p>
    <w:p w14:paraId="380262D8" w14:textId="5B41448C" w:rsidR="00316B1B" w:rsidRDefault="13B16938" w:rsidP="1CB7E602">
      <w:pPr>
        <w:rPr>
          <w:rFonts w:ascii="Calibri" w:eastAsia="Calibri" w:hAnsi="Calibri" w:cs="Calibri"/>
          <w:sz w:val="24"/>
          <w:szCs w:val="24"/>
        </w:rPr>
      </w:pPr>
      <w:r w:rsidRPr="1F1F22CC">
        <w:rPr>
          <w:rFonts w:ascii="Calibri" w:eastAsia="Calibri" w:hAnsi="Calibri" w:cs="Calibri"/>
          <w:sz w:val="24"/>
          <w:szCs w:val="24"/>
        </w:rPr>
        <w:t>Tier 1 Evidence is considered to be scholarly activity that is shared widely through publication</w:t>
      </w:r>
      <w:r w:rsidR="00B168A4" w:rsidRPr="1F1F22CC">
        <w:rPr>
          <w:rFonts w:ascii="Calibri" w:eastAsia="Calibri" w:hAnsi="Calibri" w:cs="Calibri"/>
          <w:sz w:val="24"/>
          <w:szCs w:val="24"/>
        </w:rPr>
        <w:t xml:space="preserve">, </w:t>
      </w:r>
      <w:r w:rsidRPr="1F1F22CC">
        <w:rPr>
          <w:rFonts w:ascii="Calibri" w:eastAsia="Calibri" w:hAnsi="Calibri" w:cs="Calibri"/>
          <w:sz w:val="24"/>
          <w:szCs w:val="24"/>
        </w:rPr>
        <w:t>presentation</w:t>
      </w:r>
      <w:r w:rsidR="7AC4EA68" w:rsidRPr="1F1F22CC">
        <w:rPr>
          <w:rFonts w:ascii="Calibri" w:eastAsia="Calibri" w:hAnsi="Calibri" w:cs="Calibri"/>
          <w:sz w:val="24"/>
          <w:szCs w:val="24"/>
        </w:rPr>
        <w:t xml:space="preserve"> or other dissemination method</w:t>
      </w:r>
      <w:r w:rsidR="44B92AFB" w:rsidRPr="1F1F22CC">
        <w:rPr>
          <w:rFonts w:ascii="Calibri" w:eastAsia="Calibri" w:hAnsi="Calibri" w:cs="Calibri"/>
          <w:sz w:val="24"/>
          <w:szCs w:val="24"/>
        </w:rPr>
        <w:t>s</w:t>
      </w:r>
      <w:r w:rsidRPr="1F1F22CC">
        <w:rPr>
          <w:rFonts w:ascii="Calibri" w:eastAsia="Calibri" w:hAnsi="Calibri" w:cs="Calibri"/>
          <w:sz w:val="24"/>
          <w:szCs w:val="24"/>
        </w:rPr>
        <w:t>.</w:t>
      </w:r>
      <w:r w:rsidR="11EC68C7" w:rsidRPr="1F1F22CC">
        <w:rPr>
          <w:rFonts w:ascii="Calibri" w:eastAsia="Calibri" w:hAnsi="Calibri" w:cs="Calibri"/>
          <w:sz w:val="24"/>
          <w:szCs w:val="24"/>
        </w:rPr>
        <w:t xml:space="preserve"> </w:t>
      </w:r>
      <w:r w:rsidR="3154B7FD" w:rsidRPr="1F1F22CC">
        <w:rPr>
          <w:rFonts w:ascii="Calibri" w:eastAsia="Calibri" w:hAnsi="Calibri" w:cs="Calibri"/>
          <w:sz w:val="24"/>
          <w:szCs w:val="24"/>
        </w:rPr>
        <w:t xml:space="preserve">The Education Department emphasizes the </w:t>
      </w:r>
      <w:r w:rsidR="3154B7FD" w:rsidRPr="1F1F22CC">
        <w:rPr>
          <w:rFonts w:ascii="Calibri" w:eastAsia="Calibri" w:hAnsi="Calibri" w:cs="Calibri"/>
          <w:sz w:val="24"/>
          <w:szCs w:val="24"/>
        </w:rPr>
        <w:lastRenderedPageBreak/>
        <w:t xml:space="preserve">importance of a candidate’s engagement in the intellectual life of their field of study beyond the boundaries of the campus community. </w:t>
      </w:r>
    </w:p>
    <w:p w14:paraId="75F7EED7" w14:textId="5E0EC494" w:rsidR="580B8B89" w:rsidRDefault="580B8B89" w:rsidP="00181FC3">
      <w:pPr>
        <w:pStyle w:val="ListParagraph"/>
        <w:numPr>
          <w:ilvl w:val="0"/>
          <w:numId w:val="3"/>
        </w:numPr>
        <w:rPr>
          <w:rFonts w:ascii="Calibri" w:eastAsia="Calibri" w:hAnsi="Calibri" w:cs="Calibri"/>
          <w:sz w:val="24"/>
          <w:szCs w:val="24"/>
        </w:rPr>
      </w:pPr>
      <w:r w:rsidRPr="3941B942">
        <w:rPr>
          <w:rFonts w:ascii="Calibri" w:eastAsia="Calibri" w:hAnsi="Calibri" w:cs="Calibri"/>
          <w:sz w:val="24"/>
          <w:szCs w:val="24"/>
        </w:rPr>
        <w:t>Publication of peer-reviewed book chapter, professional journal</w:t>
      </w:r>
      <w:r w:rsidRPr="3941B942">
        <w:rPr>
          <w:rFonts w:ascii="Calibri" w:eastAsia="Calibri" w:hAnsi="Calibri" w:cs="Calibri"/>
          <w:color w:val="FFC000" w:themeColor="accent4"/>
          <w:sz w:val="24"/>
          <w:szCs w:val="24"/>
        </w:rPr>
        <w:t xml:space="preserve"> </w:t>
      </w:r>
      <w:r w:rsidRPr="3941B942">
        <w:rPr>
          <w:rFonts w:ascii="Calibri" w:eastAsia="Calibri" w:hAnsi="Calibri" w:cs="Calibri"/>
          <w:sz w:val="24"/>
          <w:szCs w:val="24"/>
        </w:rPr>
        <w:t>article, curricul</w:t>
      </w:r>
      <w:r w:rsidR="09F0A62A" w:rsidRPr="3941B942">
        <w:rPr>
          <w:rFonts w:ascii="Calibri" w:eastAsia="Calibri" w:hAnsi="Calibri" w:cs="Calibri"/>
          <w:sz w:val="24"/>
          <w:szCs w:val="24"/>
        </w:rPr>
        <w:t>um</w:t>
      </w:r>
      <w:r w:rsidRPr="3941B942">
        <w:rPr>
          <w:rFonts w:ascii="Calibri" w:eastAsia="Calibri" w:hAnsi="Calibri" w:cs="Calibri"/>
          <w:sz w:val="24"/>
          <w:szCs w:val="24"/>
        </w:rPr>
        <w:t xml:space="preserve"> </w:t>
      </w:r>
    </w:p>
    <w:p w14:paraId="4A6692E1" w14:textId="643EF402" w:rsidR="580B8B89" w:rsidRDefault="580B8B89" w:rsidP="5A23F500">
      <w:pPr>
        <w:pStyle w:val="ListParagraph"/>
        <w:numPr>
          <w:ilvl w:val="0"/>
          <w:numId w:val="1"/>
        </w:numPr>
        <w:ind w:left="1080"/>
        <w:rPr>
          <w:rFonts w:ascii="Calibri" w:eastAsia="Calibri" w:hAnsi="Calibri" w:cs="Calibri"/>
          <w:sz w:val="24"/>
          <w:szCs w:val="24"/>
        </w:rPr>
      </w:pPr>
      <w:r w:rsidRPr="5A23F500">
        <w:rPr>
          <w:rFonts w:ascii="Calibri" w:eastAsia="Calibri" w:hAnsi="Calibri" w:cs="Calibri"/>
          <w:sz w:val="24"/>
          <w:szCs w:val="24"/>
        </w:rPr>
        <w:t>The Education Department does not distinguish between works that have been published and those that have been accepted for publication at the time of candidacy.</w:t>
      </w:r>
    </w:p>
    <w:p w14:paraId="0D43884E" w14:textId="1347C32D" w:rsidR="00316B1B" w:rsidRDefault="2FCAB107" w:rsidP="00181FC3">
      <w:pPr>
        <w:pStyle w:val="ListParagraph"/>
        <w:numPr>
          <w:ilvl w:val="0"/>
          <w:numId w:val="3"/>
        </w:numPr>
        <w:rPr>
          <w:rFonts w:ascii="Calibri" w:eastAsia="Calibri" w:hAnsi="Calibri" w:cs="Calibri"/>
          <w:sz w:val="24"/>
          <w:szCs w:val="24"/>
        </w:rPr>
      </w:pPr>
      <w:r w:rsidRPr="3941B942">
        <w:rPr>
          <w:rFonts w:ascii="Calibri" w:eastAsia="Calibri" w:hAnsi="Calibri" w:cs="Calibri"/>
          <w:sz w:val="24"/>
          <w:szCs w:val="24"/>
        </w:rPr>
        <w:t xml:space="preserve">Presentation at </w:t>
      </w:r>
      <w:r w:rsidR="3747E342" w:rsidRPr="3941B942">
        <w:rPr>
          <w:rFonts w:ascii="Calibri" w:eastAsia="Calibri" w:hAnsi="Calibri" w:cs="Calibri"/>
          <w:sz w:val="24"/>
          <w:szCs w:val="24"/>
        </w:rPr>
        <w:t xml:space="preserve">peer-reviewed </w:t>
      </w:r>
      <w:r w:rsidR="1C3B16C2" w:rsidRPr="3941B942">
        <w:rPr>
          <w:rFonts w:ascii="Calibri" w:eastAsia="Calibri" w:hAnsi="Calibri" w:cs="Calibri"/>
          <w:sz w:val="24"/>
          <w:szCs w:val="24"/>
        </w:rPr>
        <w:t xml:space="preserve">professional </w:t>
      </w:r>
      <w:r w:rsidRPr="3941B942">
        <w:rPr>
          <w:rFonts w:ascii="Calibri" w:eastAsia="Calibri" w:hAnsi="Calibri" w:cs="Calibri"/>
          <w:sz w:val="24"/>
          <w:szCs w:val="24"/>
        </w:rPr>
        <w:t>conference, seminar</w:t>
      </w:r>
      <w:r w:rsidR="04F4B4B2" w:rsidRPr="3941B942">
        <w:rPr>
          <w:rFonts w:ascii="Calibri" w:eastAsia="Calibri" w:hAnsi="Calibri" w:cs="Calibri"/>
          <w:sz w:val="24"/>
          <w:szCs w:val="24"/>
        </w:rPr>
        <w:t>, or colloqui</w:t>
      </w:r>
      <w:r w:rsidR="72D5DDCB" w:rsidRPr="3941B942">
        <w:rPr>
          <w:rFonts w:ascii="Calibri" w:eastAsia="Calibri" w:hAnsi="Calibri" w:cs="Calibri"/>
          <w:sz w:val="24"/>
          <w:szCs w:val="24"/>
        </w:rPr>
        <w:t>um</w:t>
      </w:r>
      <w:r w:rsidRPr="3941B942">
        <w:rPr>
          <w:rFonts w:ascii="Calibri" w:eastAsia="Calibri" w:hAnsi="Calibri" w:cs="Calibri"/>
          <w:sz w:val="24"/>
          <w:szCs w:val="24"/>
        </w:rPr>
        <w:t xml:space="preserve"> </w:t>
      </w:r>
    </w:p>
    <w:p w14:paraId="4917E36A" w14:textId="44B1862B" w:rsidR="00316B1B" w:rsidRDefault="3B656471" w:rsidP="00181FC3">
      <w:pPr>
        <w:pStyle w:val="ListParagraph"/>
        <w:numPr>
          <w:ilvl w:val="0"/>
          <w:numId w:val="12"/>
        </w:numPr>
        <w:rPr>
          <w:rFonts w:ascii="Calibri" w:eastAsia="Calibri" w:hAnsi="Calibri" w:cs="Calibri"/>
          <w:sz w:val="24"/>
          <w:szCs w:val="24"/>
        </w:rPr>
      </w:pPr>
      <w:r w:rsidRPr="3941B942">
        <w:rPr>
          <w:rFonts w:ascii="Calibri" w:eastAsia="Calibri" w:hAnsi="Calibri" w:cs="Calibri"/>
          <w:sz w:val="24"/>
          <w:szCs w:val="24"/>
        </w:rPr>
        <w:t>Invited colloqui</w:t>
      </w:r>
      <w:r w:rsidR="210548D3" w:rsidRPr="3941B942">
        <w:rPr>
          <w:rFonts w:ascii="Calibri" w:eastAsia="Calibri" w:hAnsi="Calibri" w:cs="Calibri"/>
          <w:sz w:val="24"/>
          <w:szCs w:val="24"/>
        </w:rPr>
        <w:t>um</w:t>
      </w:r>
      <w:r w:rsidRPr="3941B942">
        <w:rPr>
          <w:rFonts w:ascii="Calibri" w:eastAsia="Calibri" w:hAnsi="Calibri" w:cs="Calibri"/>
          <w:sz w:val="24"/>
          <w:szCs w:val="24"/>
        </w:rPr>
        <w:t xml:space="preserve">, </w:t>
      </w:r>
      <w:r w:rsidR="67E4C15D" w:rsidRPr="3941B942">
        <w:rPr>
          <w:rFonts w:ascii="Calibri" w:eastAsia="Calibri" w:hAnsi="Calibri" w:cs="Calibri"/>
          <w:sz w:val="24"/>
          <w:szCs w:val="24"/>
        </w:rPr>
        <w:t xml:space="preserve">panel, or </w:t>
      </w:r>
      <w:r w:rsidRPr="3941B942">
        <w:rPr>
          <w:rFonts w:ascii="Calibri" w:eastAsia="Calibri" w:hAnsi="Calibri" w:cs="Calibri"/>
          <w:sz w:val="24"/>
          <w:szCs w:val="24"/>
        </w:rPr>
        <w:t>plenary</w:t>
      </w:r>
      <w:r w:rsidR="6751F9A5" w:rsidRPr="3941B942">
        <w:rPr>
          <w:rFonts w:ascii="Calibri" w:eastAsia="Calibri" w:hAnsi="Calibri" w:cs="Calibri"/>
          <w:sz w:val="24"/>
          <w:szCs w:val="24"/>
        </w:rPr>
        <w:t xml:space="preserve"> speaker </w:t>
      </w:r>
      <w:r w:rsidRPr="3941B942">
        <w:rPr>
          <w:rFonts w:ascii="Calibri" w:eastAsia="Calibri" w:hAnsi="Calibri" w:cs="Calibri"/>
          <w:sz w:val="24"/>
          <w:szCs w:val="24"/>
        </w:rPr>
        <w:t xml:space="preserve">at </w:t>
      </w:r>
      <w:r w:rsidR="31860C05" w:rsidRPr="3941B942">
        <w:rPr>
          <w:rFonts w:ascii="Calibri" w:eastAsia="Calibri" w:hAnsi="Calibri" w:cs="Calibri"/>
          <w:sz w:val="24"/>
          <w:szCs w:val="24"/>
        </w:rPr>
        <w:t xml:space="preserve">peer-reviewed </w:t>
      </w:r>
      <w:r w:rsidRPr="3941B942">
        <w:rPr>
          <w:rFonts w:ascii="Calibri" w:eastAsia="Calibri" w:hAnsi="Calibri" w:cs="Calibri"/>
          <w:sz w:val="24"/>
          <w:szCs w:val="24"/>
        </w:rPr>
        <w:t>professional conference</w:t>
      </w:r>
    </w:p>
    <w:p w14:paraId="28F99F7D" w14:textId="2AEC8409" w:rsidR="113CD523" w:rsidRDefault="113CD523" w:rsidP="00181FC3">
      <w:pPr>
        <w:pStyle w:val="ListParagraph"/>
        <w:numPr>
          <w:ilvl w:val="0"/>
          <w:numId w:val="12"/>
        </w:numPr>
        <w:rPr>
          <w:rFonts w:ascii="Calibri" w:eastAsia="Calibri" w:hAnsi="Calibri" w:cs="Calibri"/>
          <w:sz w:val="24"/>
          <w:szCs w:val="24"/>
        </w:rPr>
      </w:pPr>
      <w:r w:rsidRPr="5A23F500">
        <w:rPr>
          <w:rFonts w:ascii="Calibri" w:eastAsia="Calibri" w:hAnsi="Calibri" w:cs="Calibri"/>
          <w:sz w:val="24"/>
          <w:szCs w:val="24"/>
        </w:rPr>
        <w:t>Publication of a manuscript (not just abstract) in conference proceedings</w:t>
      </w:r>
    </w:p>
    <w:p w14:paraId="71ADB7F1" w14:textId="5476E173" w:rsidR="00316B1B" w:rsidRDefault="2FCAB107" w:rsidP="00181FC3">
      <w:pPr>
        <w:pStyle w:val="ListParagraph"/>
        <w:numPr>
          <w:ilvl w:val="0"/>
          <w:numId w:val="12"/>
        </w:numPr>
        <w:rPr>
          <w:rFonts w:ascii="Calibri" w:eastAsia="Calibri" w:hAnsi="Calibri" w:cs="Calibri"/>
          <w:sz w:val="24"/>
          <w:szCs w:val="24"/>
        </w:rPr>
      </w:pPr>
      <w:r w:rsidRPr="3941B942">
        <w:rPr>
          <w:rFonts w:ascii="Calibri" w:eastAsia="Calibri" w:hAnsi="Calibri" w:cs="Calibri"/>
          <w:sz w:val="24"/>
          <w:szCs w:val="24"/>
        </w:rPr>
        <w:t xml:space="preserve">Collaboration on original research with undergraduate </w:t>
      </w:r>
      <w:r w:rsidR="612780A7" w:rsidRPr="3941B942">
        <w:rPr>
          <w:rFonts w:ascii="Calibri" w:eastAsia="Calibri" w:hAnsi="Calibri" w:cs="Calibri"/>
          <w:sz w:val="24"/>
          <w:szCs w:val="24"/>
        </w:rPr>
        <w:t xml:space="preserve">or graduate </w:t>
      </w:r>
      <w:r w:rsidRPr="3941B942">
        <w:rPr>
          <w:rFonts w:ascii="Calibri" w:eastAsia="Calibri" w:hAnsi="Calibri" w:cs="Calibri"/>
          <w:sz w:val="24"/>
          <w:szCs w:val="24"/>
        </w:rPr>
        <w:t>student</w:t>
      </w:r>
      <w:r w:rsidR="1CA03734" w:rsidRPr="3941B942">
        <w:rPr>
          <w:rFonts w:ascii="Calibri" w:eastAsia="Calibri" w:hAnsi="Calibri" w:cs="Calibri"/>
          <w:sz w:val="24"/>
          <w:szCs w:val="24"/>
        </w:rPr>
        <w:t>(</w:t>
      </w:r>
      <w:r w:rsidRPr="3941B942">
        <w:rPr>
          <w:rFonts w:ascii="Calibri" w:eastAsia="Calibri" w:hAnsi="Calibri" w:cs="Calibri"/>
          <w:sz w:val="24"/>
          <w:szCs w:val="24"/>
        </w:rPr>
        <w:t>s</w:t>
      </w:r>
      <w:r w:rsidR="2196BD86" w:rsidRPr="3941B942">
        <w:rPr>
          <w:rFonts w:ascii="Calibri" w:eastAsia="Calibri" w:hAnsi="Calibri" w:cs="Calibri"/>
          <w:sz w:val="24"/>
          <w:szCs w:val="24"/>
        </w:rPr>
        <w:t>)</w:t>
      </w:r>
      <w:r w:rsidRPr="3941B942">
        <w:rPr>
          <w:rFonts w:ascii="Calibri" w:eastAsia="Calibri" w:hAnsi="Calibri" w:cs="Calibri"/>
          <w:sz w:val="24"/>
          <w:szCs w:val="24"/>
        </w:rPr>
        <w:t xml:space="preserve"> leading to publication or external presentation, including poster sessions</w:t>
      </w:r>
    </w:p>
    <w:p w14:paraId="6C512AA2" w14:textId="662DE88C" w:rsidR="1A74A0AC" w:rsidRDefault="1A74A0AC" w:rsidP="00181FC3">
      <w:pPr>
        <w:pStyle w:val="ListParagraph"/>
        <w:numPr>
          <w:ilvl w:val="0"/>
          <w:numId w:val="12"/>
        </w:numPr>
        <w:rPr>
          <w:rFonts w:ascii="Calibri" w:eastAsia="Calibri" w:hAnsi="Calibri" w:cs="Calibri"/>
          <w:sz w:val="24"/>
          <w:szCs w:val="24"/>
        </w:rPr>
      </w:pPr>
      <w:r w:rsidRPr="1F1F22CC">
        <w:rPr>
          <w:rFonts w:ascii="Calibri" w:eastAsia="Calibri" w:hAnsi="Calibri" w:cs="Calibri"/>
          <w:sz w:val="24"/>
          <w:szCs w:val="24"/>
        </w:rPr>
        <w:t xml:space="preserve">Authorship </w:t>
      </w:r>
      <w:r w:rsidR="75E757D1" w:rsidRPr="1F1F22CC">
        <w:rPr>
          <w:rFonts w:ascii="Calibri" w:eastAsia="Calibri" w:hAnsi="Calibri" w:cs="Calibri"/>
          <w:sz w:val="24"/>
          <w:szCs w:val="24"/>
        </w:rPr>
        <w:t xml:space="preserve">or co-authorship </w:t>
      </w:r>
      <w:r w:rsidRPr="1F1F22CC">
        <w:rPr>
          <w:rFonts w:ascii="Calibri" w:eastAsia="Calibri" w:hAnsi="Calibri" w:cs="Calibri"/>
          <w:sz w:val="24"/>
          <w:szCs w:val="24"/>
        </w:rPr>
        <w:t>of a textbook</w:t>
      </w:r>
    </w:p>
    <w:p w14:paraId="4F755515" w14:textId="5FA08CF1" w:rsidR="206D4236" w:rsidRDefault="206D4236" w:rsidP="00181FC3">
      <w:pPr>
        <w:pStyle w:val="ListParagraph"/>
        <w:numPr>
          <w:ilvl w:val="0"/>
          <w:numId w:val="12"/>
        </w:numPr>
        <w:rPr>
          <w:rFonts w:ascii="Calibri" w:eastAsia="Calibri" w:hAnsi="Calibri" w:cs="Calibri"/>
          <w:sz w:val="24"/>
          <w:szCs w:val="24"/>
        </w:rPr>
      </w:pPr>
      <w:r w:rsidRPr="5A23F500">
        <w:rPr>
          <w:rFonts w:ascii="Calibri" w:eastAsia="Calibri" w:hAnsi="Calibri" w:cs="Calibri"/>
          <w:sz w:val="24"/>
          <w:szCs w:val="24"/>
        </w:rPr>
        <w:t>Authoring a book review that is published in a peer-reviewed journal or periodical</w:t>
      </w:r>
    </w:p>
    <w:p w14:paraId="7759717A" w14:textId="733EFFA6" w:rsidR="00316B1B" w:rsidRDefault="790CB778" w:rsidP="00181FC3">
      <w:pPr>
        <w:pStyle w:val="ListParagraph"/>
        <w:numPr>
          <w:ilvl w:val="0"/>
          <w:numId w:val="12"/>
        </w:numPr>
        <w:rPr>
          <w:rFonts w:ascii="Calibri" w:eastAsia="Calibri" w:hAnsi="Calibri" w:cs="Calibri"/>
          <w:sz w:val="24"/>
          <w:szCs w:val="24"/>
        </w:rPr>
      </w:pPr>
      <w:r w:rsidRPr="3941B942">
        <w:rPr>
          <w:rFonts w:ascii="Calibri" w:eastAsia="Calibri" w:hAnsi="Calibri" w:cs="Calibri"/>
          <w:sz w:val="24"/>
          <w:szCs w:val="24"/>
        </w:rPr>
        <w:t>Successful proposal for external grants that ha</w:t>
      </w:r>
      <w:r w:rsidR="40D673EF" w:rsidRPr="3941B942">
        <w:rPr>
          <w:rFonts w:ascii="Calibri" w:eastAsia="Calibri" w:hAnsi="Calibri" w:cs="Calibri"/>
          <w:sz w:val="24"/>
          <w:szCs w:val="24"/>
        </w:rPr>
        <w:t>s</w:t>
      </w:r>
      <w:r w:rsidRPr="3941B942">
        <w:rPr>
          <w:rFonts w:ascii="Calibri" w:eastAsia="Calibri" w:hAnsi="Calibri" w:cs="Calibri"/>
          <w:sz w:val="24"/>
          <w:szCs w:val="24"/>
        </w:rPr>
        <w:t xml:space="preserve"> gone through a peer-reviewed process</w:t>
      </w:r>
    </w:p>
    <w:p w14:paraId="35275473" w14:textId="7E5FD758" w:rsidR="23B79171" w:rsidRDefault="0AD9DBE9" w:rsidP="00181FC3">
      <w:pPr>
        <w:pStyle w:val="ListParagraph"/>
        <w:numPr>
          <w:ilvl w:val="0"/>
          <w:numId w:val="12"/>
        </w:numPr>
        <w:rPr>
          <w:rFonts w:ascii="Calibri" w:eastAsia="Calibri" w:hAnsi="Calibri" w:cs="Calibri"/>
          <w:sz w:val="24"/>
          <w:szCs w:val="24"/>
        </w:rPr>
      </w:pPr>
      <w:r w:rsidRPr="5A23F500">
        <w:rPr>
          <w:rFonts w:ascii="Calibri" w:eastAsia="Calibri" w:hAnsi="Calibri" w:cs="Calibri"/>
          <w:sz w:val="24"/>
          <w:szCs w:val="24"/>
        </w:rPr>
        <w:t xml:space="preserve">Serving as </w:t>
      </w:r>
      <w:r w:rsidR="464EF54B" w:rsidRPr="5A23F500">
        <w:rPr>
          <w:rFonts w:ascii="Calibri" w:eastAsia="Calibri" w:hAnsi="Calibri" w:cs="Calibri"/>
          <w:sz w:val="24"/>
          <w:szCs w:val="24"/>
        </w:rPr>
        <w:t>general editor of a book or monograph or series editor for journals and/or publishers; or serving as a guest editor for one or more issues of a journal</w:t>
      </w:r>
    </w:p>
    <w:p w14:paraId="15F88AD5" w14:textId="6691A962" w:rsidR="23B79171" w:rsidRDefault="6CBD5A7B" w:rsidP="00181FC3">
      <w:pPr>
        <w:pStyle w:val="ListParagraph"/>
        <w:numPr>
          <w:ilvl w:val="0"/>
          <w:numId w:val="12"/>
        </w:numPr>
        <w:rPr>
          <w:rFonts w:ascii="Calibri" w:eastAsia="Calibri" w:hAnsi="Calibri" w:cs="Calibri"/>
          <w:sz w:val="24"/>
          <w:szCs w:val="24"/>
        </w:rPr>
      </w:pPr>
      <w:r w:rsidRPr="5A23F500">
        <w:rPr>
          <w:rFonts w:ascii="Calibri" w:eastAsia="Calibri" w:hAnsi="Calibri" w:cs="Calibri"/>
          <w:sz w:val="24"/>
          <w:szCs w:val="24"/>
        </w:rPr>
        <w:t>Primary facilitator of research-based professional development workshops at the regional, state or national level</w:t>
      </w:r>
    </w:p>
    <w:p w14:paraId="7BF2C087" w14:textId="24C6F14F" w:rsidR="02AB367B" w:rsidRDefault="02AB367B" w:rsidP="00181FC3">
      <w:pPr>
        <w:pStyle w:val="ListParagraph"/>
        <w:numPr>
          <w:ilvl w:val="0"/>
          <w:numId w:val="12"/>
        </w:numPr>
        <w:rPr>
          <w:rFonts w:ascii="Calibri" w:eastAsia="Calibri" w:hAnsi="Calibri" w:cs="Calibri"/>
          <w:sz w:val="24"/>
          <w:szCs w:val="24"/>
        </w:rPr>
      </w:pPr>
      <w:r w:rsidRPr="666A0591">
        <w:rPr>
          <w:rFonts w:ascii="Calibri" w:eastAsia="Calibri" w:hAnsi="Calibri" w:cs="Calibri"/>
          <w:sz w:val="24"/>
          <w:szCs w:val="24"/>
        </w:rPr>
        <w:t>Collaboration with partner</w:t>
      </w:r>
      <w:r w:rsidR="4B8DD965" w:rsidRPr="666A0591">
        <w:rPr>
          <w:rFonts w:ascii="Calibri" w:eastAsia="Calibri" w:hAnsi="Calibri" w:cs="Calibri"/>
          <w:sz w:val="24"/>
          <w:szCs w:val="24"/>
        </w:rPr>
        <w:t>(</w:t>
      </w:r>
      <w:r w:rsidR="0F1D7691" w:rsidRPr="666A0591">
        <w:rPr>
          <w:rFonts w:ascii="Calibri" w:eastAsia="Calibri" w:hAnsi="Calibri" w:cs="Calibri"/>
          <w:sz w:val="24"/>
          <w:szCs w:val="24"/>
        </w:rPr>
        <w:t>s</w:t>
      </w:r>
      <w:r w:rsidR="4390DB0A" w:rsidRPr="666A0591">
        <w:rPr>
          <w:rFonts w:ascii="Calibri" w:eastAsia="Calibri" w:hAnsi="Calibri" w:cs="Calibri"/>
          <w:sz w:val="24"/>
          <w:szCs w:val="24"/>
        </w:rPr>
        <w:t>)</w:t>
      </w:r>
      <w:r w:rsidR="0F1D7691" w:rsidRPr="666A0591">
        <w:rPr>
          <w:rFonts w:ascii="Calibri" w:eastAsia="Calibri" w:hAnsi="Calibri" w:cs="Calibri"/>
          <w:sz w:val="24"/>
          <w:szCs w:val="24"/>
        </w:rPr>
        <w:t xml:space="preserve"> such as K-12 districts</w:t>
      </w:r>
      <w:r w:rsidR="586490EE" w:rsidRPr="666A0591">
        <w:rPr>
          <w:rFonts w:ascii="Calibri" w:eastAsia="Calibri" w:hAnsi="Calibri" w:cs="Calibri"/>
          <w:sz w:val="24"/>
          <w:szCs w:val="24"/>
        </w:rPr>
        <w:t>, Oregon Department of Education, T</w:t>
      </w:r>
      <w:r w:rsidR="1A232DF2" w:rsidRPr="666A0591">
        <w:rPr>
          <w:rFonts w:ascii="Calibri" w:eastAsia="Calibri" w:hAnsi="Calibri" w:cs="Calibri"/>
          <w:sz w:val="24"/>
          <w:szCs w:val="24"/>
        </w:rPr>
        <w:t>eacher Standards and Practices Commission (TSPC), R</w:t>
      </w:r>
      <w:r w:rsidR="7F9A142B" w:rsidRPr="666A0591">
        <w:rPr>
          <w:rFonts w:ascii="Calibri" w:eastAsia="Calibri" w:hAnsi="Calibri" w:cs="Calibri"/>
          <w:sz w:val="24"/>
          <w:szCs w:val="24"/>
        </w:rPr>
        <w:t xml:space="preserve">egional </w:t>
      </w:r>
      <w:r w:rsidR="1A232DF2" w:rsidRPr="666A0591">
        <w:rPr>
          <w:rFonts w:ascii="Calibri" w:eastAsia="Calibri" w:hAnsi="Calibri" w:cs="Calibri"/>
          <w:sz w:val="24"/>
          <w:szCs w:val="24"/>
        </w:rPr>
        <w:t>E</w:t>
      </w:r>
      <w:r w:rsidR="4E36F7D7" w:rsidRPr="666A0591">
        <w:rPr>
          <w:rFonts w:ascii="Calibri" w:eastAsia="Calibri" w:hAnsi="Calibri" w:cs="Calibri"/>
          <w:sz w:val="24"/>
          <w:szCs w:val="24"/>
        </w:rPr>
        <w:t>ducator Network (REN)</w:t>
      </w:r>
      <w:r w:rsidR="1A232DF2" w:rsidRPr="666A0591">
        <w:rPr>
          <w:rFonts w:ascii="Calibri" w:eastAsia="Calibri" w:hAnsi="Calibri" w:cs="Calibri"/>
          <w:sz w:val="24"/>
          <w:szCs w:val="24"/>
        </w:rPr>
        <w:t xml:space="preserve">, </w:t>
      </w:r>
      <w:bookmarkStart w:id="24" w:name="_Int_O3QLCHro"/>
      <w:r w:rsidR="1A232DF2" w:rsidRPr="666A0591">
        <w:rPr>
          <w:rFonts w:ascii="Calibri" w:eastAsia="Calibri" w:hAnsi="Calibri" w:cs="Calibri"/>
          <w:sz w:val="24"/>
          <w:szCs w:val="24"/>
        </w:rPr>
        <w:t>US</w:t>
      </w:r>
      <w:bookmarkEnd w:id="24"/>
      <w:r w:rsidR="1A232DF2" w:rsidRPr="666A0591">
        <w:rPr>
          <w:rFonts w:ascii="Calibri" w:eastAsia="Calibri" w:hAnsi="Calibri" w:cs="Calibri"/>
          <w:sz w:val="24"/>
          <w:szCs w:val="24"/>
        </w:rPr>
        <w:t xml:space="preserve"> Department of Education on </w:t>
      </w:r>
      <w:r w:rsidRPr="666A0591">
        <w:rPr>
          <w:rFonts w:ascii="Calibri" w:eastAsia="Calibri" w:hAnsi="Calibri" w:cs="Calibri"/>
          <w:sz w:val="24"/>
          <w:szCs w:val="24"/>
        </w:rPr>
        <w:t>initiatives, projects, or research</w:t>
      </w:r>
    </w:p>
    <w:p w14:paraId="5A4894AF" w14:textId="756FB06C" w:rsidR="02AB367B" w:rsidRDefault="02AB367B" w:rsidP="5A23F500">
      <w:pPr>
        <w:pStyle w:val="ListParagraph"/>
        <w:numPr>
          <w:ilvl w:val="0"/>
          <w:numId w:val="2"/>
        </w:numPr>
        <w:ind w:left="1080"/>
        <w:rPr>
          <w:rFonts w:ascii="Calibri" w:eastAsia="Calibri" w:hAnsi="Calibri" w:cs="Calibri"/>
          <w:sz w:val="24"/>
          <w:szCs w:val="24"/>
        </w:rPr>
      </w:pPr>
      <w:r w:rsidRPr="666A0591">
        <w:rPr>
          <w:rFonts w:ascii="Calibri" w:eastAsia="Calibri" w:hAnsi="Calibri" w:cs="Calibri"/>
          <w:sz w:val="24"/>
          <w:szCs w:val="24"/>
        </w:rPr>
        <w:t xml:space="preserve">The Education Department encourages the inclusion of letters from </w:t>
      </w:r>
      <w:r w:rsidR="2047A193" w:rsidRPr="666A0591">
        <w:rPr>
          <w:rFonts w:ascii="Calibri" w:eastAsia="Calibri" w:hAnsi="Calibri" w:cs="Calibri"/>
          <w:sz w:val="24"/>
          <w:szCs w:val="24"/>
        </w:rPr>
        <w:t>partners</w:t>
      </w:r>
      <w:r w:rsidRPr="666A0591">
        <w:rPr>
          <w:rFonts w:ascii="Calibri" w:eastAsia="Calibri" w:hAnsi="Calibri" w:cs="Calibri"/>
          <w:sz w:val="24"/>
          <w:szCs w:val="24"/>
        </w:rPr>
        <w:t xml:space="preserve"> (</w:t>
      </w:r>
      <w:r w:rsidR="6E4D88EC" w:rsidRPr="666A0591">
        <w:rPr>
          <w:rFonts w:ascii="Calibri" w:eastAsia="Calibri" w:hAnsi="Calibri" w:cs="Calibri"/>
          <w:sz w:val="24"/>
          <w:szCs w:val="24"/>
        </w:rPr>
        <w:t>e.g.,</w:t>
      </w:r>
      <w:r w:rsidRPr="666A0591">
        <w:rPr>
          <w:rFonts w:ascii="Calibri" w:eastAsia="Calibri" w:hAnsi="Calibri" w:cs="Calibri"/>
          <w:sz w:val="24"/>
          <w:szCs w:val="24"/>
        </w:rPr>
        <w:t xml:space="preserve"> teachers, curriculum developers, administrators) which </w:t>
      </w:r>
      <w:r w:rsidR="35072106" w:rsidRPr="666A0591">
        <w:rPr>
          <w:rFonts w:ascii="Calibri" w:eastAsia="Calibri" w:hAnsi="Calibri" w:cs="Calibri"/>
          <w:sz w:val="24"/>
          <w:szCs w:val="24"/>
        </w:rPr>
        <w:t xml:space="preserve">explain the nature and impact of </w:t>
      </w:r>
      <w:bookmarkStart w:id="25" w:name="_Int_TxgsjWch"/>
      <w:r w:rsidR="35072106" w:rsidRPr="666A0591">
        <w:rPr>
          <w:rFonts w:ascii="Calibri" w:eastAsia="Calibri" w:hAnsi="Calibri" w:cs="Calibri"/>
          <w:sz w:val="24"/>
          <w:szCs w:val="24"/>
        </w:rPr>
        <w:t>the collaboration</w:t>
      </w:r>
      <w:bookmarkEnd w:id="25"/>
      <w:r w:rsidR="35072106" w:rsidRPr="666A0591">
        <w:rPr>
          <w:rFonts w:ascii="Calibri" w:eastAsia="Calibri" w:hAnsi="Calibri" w:cs="Calibri"/>
          <w:sz w:val="24"/>
          <w:szCs w:val="24"/>
        </w:rPr>
        <w:t>.</w:t>
      </w:r>
    </w:p>
    <w:p w14:paraId="4ED7DE4B" w14:textId="0B3205D7" w:rsidR="2FCAB107" w:rsidRDefault="2FCAB107" w:rsidP="1CB7E602">
      <w:pPr>
        <w:rPr>
          <w:rFonts w:ascii="Calibri" w:eastAsia="Calibri" w:hAnsi="Calibri" w:cs="Calibri"/>
          <w:sz w:val="24"/>
          <w:szCs w:val="24"/>
        </w:rPr>
      </w:pPr>
      <w:r w:rsidRPr="1CB7E602">
        <w:rPr>
          <w:rFonts w:ascii="Calibri" w:eastAsia="Calibri" w:hAnsi="Calibri" w:cs="Calibri"/>
          <w:sz w:val="24"/>
          <w:szCs w:val="24"/>
        </w:rPr>
        <w:t xml:space="preserve">  </w:t>
      </w:r>
    </w:p>
    <w:p w14:paraId="17865E73" w14:textId="66A9246E" w:rsidR="00316B1B" w:rsidRDefault="2FCAB107" w:rsidP="6B3E84FA">
      <w:pPr>
        <w:pStyle w:val="Heading3"/>
      </w:pPr>
      <w:bookmarkStart w:id="26" w:name="_Toc256754091"/>
      <w:r>
        <w:t>Tier 2 Evidence</w:t>
      </w:r>
      <w:bookmarkEnd w:id="26"/>
    </w:p>
    <w:p w14:paraId="4705DCA2" w14:textId="43344310" w:rsidR="00316B1B" w:rsidRDefault="16501180" w:rsidP="2AF949AA">
      <w:pPr>
        <w:rPr>
          <w:rFonts w:ascii="Calibri" w:eastAsia="Calibri" w:hAnsi="Calibri" w:cs="Calibri"/>
          <w:sz w:val="24"/>
          <w:szCs w:val="24"/>
        </w:rPr>
      </w:pPr>
      <w:r w:rsidRPr="2AF949AA">
        <w:rPr>
          <w:rFonts w:ascii="Calibri" w:eastAsia="Calibri" w:hAnsi="Calibri" w:cs="Calibri"/>
          <w:sz w:val="24"/>
          <w:szCs w:val="24"/>
        </w:rPr>
        <w:t xml:space="preserve">The following activities are also considered to be an indication of continuous </w:t>
      </w:r>
      <w:r w:rsidR="54B2585E" w:rsidRPr="2AF949AA">
        <w:rPr>
          <w:rFonts w:ascii="Calibri" w:eastAsia="Calibri" w:hAnsi="Calibri" w:cs="Calibri"/>
          <w:sz w:val="24"/>
          <w:szCs w:val="24"/>
        </w:rPr>
        <w:t>p</w:t>
      </w:r>
      <w:r w:rsidRPr="2AF949AA">
        <w:rPr>
          <w:rFonts w:ascii="Calibri" w:eastAsia="Calibri" w:hAnsi="Calibri" w:cs="Calibri"/>
          <w:sz w:val="24"/>
          <w:szCs w:val="24"/>
        </w:rPr>
        <w:t xml:space="preserve">rofessional </w:t>
      </w:r>
      <w:r w:rsidR="31ED2B24" w:rsidRPr="2AF949AA">
        <w:rPr>
          <w:rFonts w:ascii="Calibri" w:eastAsia="Calibri" w:hAnsi="Calibri" w:cs="Calibri"/>
          <w:sz w:val="24"/>
          <w:szCs w:val="24"/>
        </w:rPr>
        <w:t>a</w:t>
      </w:r>
      <w:r w:rsidRPr="2AF949AA">
        <w:rPr>
          <w:rFonts w:ascii="Calibri" w:eastAsia="Calibri" w:hAnsi="Calibri" w:cs="Calibri"/>
          <w:sz w:val="24"/>
          <w:szCs w:val="24"/>
        </w:rPr>
        <w:t>chievements.</w:t>
      </w:r>
    </w:p>
    <w:p w14:paraId="70102EC8" w14:textId="0AA52361" w:rsidR="00316B1B" w:rsidRDefault="16501180" w:rsidP="00181FC3">
      <w:pPr>
        <w:pStyle w:val="ListParagraph"/>
        <w:numPr>
          <w:ilvl w:val="0"/>
          <w:numId w:val="11"/>
        </w:numPr>
        <w:rPr>
          <w:rFonts w:ascii="Calibri" w:eastAsia="Calibri" w:hAnsi="Calibri" w:cs="Calibri"/>
          <w:sz w:val="24"/>
          <w:szCs w:val="24"/>
        </w:rPr>
      </w:pPr>
      <w:r w:rsidRPr="666A0591">
        <w:rPr>
          <w:rFonts w:ascii="Calibri" w:eastAsia="Calibri" w:hAnsi="Calibri" w:cs="Calibri"/>
          <w:sz w:val="24"/>
          <w:szCs w:val="24"/>
        </w:rPr>
        <w:t>Conducting research with undergraduate</w:t>
      </w:r>
      <w:r w:rsidR="6A7E2213" w:rsidRPr="666A0591">
        <w:rPr>
          <w:rFonts w:ascii="Calibri" w:eastAsia="Calibri" w:hAnsi="Calibri" w:cs="Calibri"/>
          <w:sz w:val="24"/>
          <w:szCs w:val="24"/>
        </w:rPr>
        <w:t xml:space="preserve"> or graduate</w:t>
      </w:r>
      <w:r w:rsidRPr="666A0591">
        <w:rPr>
          <w:rFonts w:ascii="Calibri" w:eastAsia="Calibri" w:hAnsi="Calibri" w:cs="Calibri"/>
          <w:sz w:val="24"/>
          <w:szCs w:val="24"/>
        </w:rPr>
        <w:t xml:space="preserve"> student</w:t>
      </w:r>
      <w:r w:rsidR="51363A2F" w:rsidRPr="666A0591">
        <w:rPr>
          <w:rFonts w:ascii="Calibri" w:eastAsia="Calibri" w:hAnsi="Calibri" w:cs="Calibri"/>
          <w:sz w:val="24"/>
          <w:szCs w:val="24"/>
        </w:rPr>
        <w:t>(s)</w:t>
      </w:r>
      <w:r w:rsidR="71D79B88" w:rsidRPr="666A0591">
        <w:rPr>
          <w:rFonts w:ascii="Calibri" w:eastAsia="Calibri" w:hAnsi="Calibri" w:cs="Calibri"/>
          <w:sz w:val="24"/>
          <w:szCs w:val="24"/>
        </w:rPr>
        <w:t xml:space="preserve"> </w:t>
      </w:r>
    </w:p>
    <w:p w14:paraId="5D7F906C" w14:textId="2DAFB58A" w:rsidR="16501180" w:rsidRDefault="16501180" w:rsidP="00181FC3">
      <w:pPr>
        <w:pStyle w:val="ListParagraph"/>
        <w:numPr>
          <w:ilvl w:val="0"/>
          <w:numId w:val="11"/>
        </w:numPr>
        <w:rPr>
          <w:rFonts w:ascii="Calibri" w:eastAsia="Calibri" w:hAnsi="Calibri" w:cs="Calibri"/>
          <w:sz w:val="24"/>
          <w:szCs w:val="24"/>
        </w:rPr>
      </w:pPr>
      <w:r w:rsidRPr="2AF949AA">
        <w:rPr>
          <w:rFonts w:ascii="Calibri" w:eastAsia="Calibri" w:hAnsi="Calibri" w:cs="Calibri"/>
          <w:sz w:val="24"/>
          <w:szCs w:val="24"/>
        </w:rPr>
        <w:t xml:space="preserve">Serving as a reviewer of </w:t>
      </w:r>
      <w:r w:rsidR="72B26AFE" w:rsidRPr="2AF949AA">
        <w:rPr>
          <w:rFonts w:ascii="Calibri" w:eastAsia="Calibri" w:hAnsi="Calibri" w:cs="Calibri"/>
          <w:sz w:val="24"/>
          <w:szCs w:val="24"/>
        </w:rPr>
        <w:t xml:space="preserve">professional journal </w:t>
      </w:r>
      <w:r w:rsidRPr="2AF949AA">
        <w:rPr>
          <w:rFonts w:ascii="Calibri" w:eastAsia="Calibri" w:hAnsi="Calibri" w:cs="Calibri"/>
          <w:sz w:val="24"/>
          <w:szCs w:val="24"/>
        </w:rPr>
        <w:t>articles, papers,</w:t>
      </w:r>
      <w:r w:rsidR="6CD006BC" w:rsidRPr="2AF949AA">
        <w:rPr>
          <w:rFonts w:ascii="Calibri" w:eastAsia="Calibri" w:hAnsi="Calibri" w:cs="Calibri"/>
          <w:sz w:val="24"/>
          <w:szCs w:val="24"/>
        </w:rPr>
        <w:t xml:space="preserve"> book</w:t>
      </w:r>
      <w:r w:rsidR="153712B5" w:rsidRPr="2AF949AA">
        <w:rPr>
          <w:rFonts w:ascii="Calibri" w:eastAsia="Calibri" w:hAnsi="Calibri" w:cs="Calibri"/>
          <w:sz w:val="24"/>
          <w:szCs w:val="24"/>
        </w:rPr>
        <w:t>s</w:t>
      </w:r>
      <w:r w:rsidR="6CD006BC" w:rsidRPr="2AF949AA">
        <w:rPr>
          <w:rFonts w:ascii="Calibri" w:eastAsia="Calibri" w:hAnsi="Calibri" w:cs="Calibri"/>
          <w:sz w:val="24"/>
          <w:szCs w:val="24"/>
        </w:rPr>
        <w:t>,</w:t>
      </w:r>
      <w:r w:rsidRPr="2AF949AA">
        <w:rPr>
          <w:rFonts w:ascii="Calibri" w:eastAsia="Calibri" w:hAnsi="Calibri" w:cs="Calibri"/>
          <w:sz w:val="24"/>
          <w:szCs w:val="24"/>
        </w:rPr>
        <w:t xml:space="preserve"> or grant</w:t>
      </w:r>
      <w:r w:rsidR="6AC42C14" w:rsidRPr="2AF949AA">
        <w:rPr>
          <w:rFonts w:ascii="Calibri" w:eastAsia="Calibri" w:hAnsi="Calibri" w:cs="Calibri"/>
          <w:sz w:val="24"/>
          <w:szCs w:val="24"/>
        </w:rPr>
        <w:t xml:space="preserve"> proposal</w:t>
      </w:r>
      <w:r w:rsidRPr="2AF949AA">
        <w:rPr>
          <w:rFonts w:ascii="Calibri" w:eastAsia="Calibri" w:hAnsi="Calibri" w:cs="Calibri"/>
          <w:sz w:val="24"/>
          <w:szCs w:val="24"/>
        </w:rPr>
        <w:t>s</w:t>
      </w:r>
    </w:p>
    <w:p w14:paraId="45F59832" w14:textId="09953567" w:rsidR="70A69056" w:rsidRDefault="70A69056" w:rsidP="00181FC3">
      <w:pPr>
        <w:pStyle w:val="ListParagraph"/>
        <w:numPr>
          <w:ilvl w:val="0"/>
          <w:numId w:val="11"/>
        </w:numPr>
        <w:rPr>
          <w:rFonts w:ascii="Calibri" w:eastAsia="Calibri" w:hAnsi="Calibri" w:cs="Calibri"/>
          <w:sz w:val="24"/>
          <w:szCs w:val="24"/>
        </w:rPr>
      </w:pPr>
      <w:r w:rsidRPr="2AF949AA">
        <w:rPr>
          <w:rFonts w:ascii="Calibri" w:eastAsia="Calibri" w:hAnsi="Calibri" w:cs="Calibri"/>
          <w:sz w:val="24"/>
          <w:szCs w:val="24"/>
        </w:rPr>
        <w:t xml:space="preserve">Serving as a reviewer of professional conference proposal submissions </w:t>
      </w:r>
    </w:p>
    <w:p w14:paraId="7074D5EF" w14:textId="48C1C297" w:rsidR="00316B1B" w:rsidRDefault="16501180" w:rsidP="00181FC3">
      <w:pPr>
        <w:pStyle w:val="ListParagraph"/>
        <w:numPr>
          <w:ilvl w:val="0"/>
          <w:numId w:val="11"/>
        </w:numPr>
        <w:rPr>
          <w:rFonts w:ascii="Calibri" w:eastAsia="Calibri" w:hAnsi="Calibri" w:cs="Calibri"/>
          <w:sz w:val="24"/>
          <w:szCs w:val="24"/>
        </w:rPr>
      </w:pPr>
      <w:r w:rsidRPr="2AF949AA">
        <w:rPr>
          <w:rFonts w:ascii="Calibri" w:eastAsia="Calibri" w:hAnsi="Calibri" w:cs="Calibri"/>
          <w:sz w:val="24"/>
          <w:szCs w:val="24"/>
        </w:rPr>
        <w:t>Providing written or oral testimony to legislators, education governing boards, etc.</w:t>
      </w:r>
    </w:p>
    <w:p w14:paraId="179638DD" w14:textId="6D99A3F5" w:rsidR="00316B1B" w:rsidRDefault="16501180" w:rsidP="00181FC3">
      <w:pPr>
        <w:pStyle w:val="ListParagraph"/>
        <w:numPr>
          <w:ilvl w:val="0"/>
          <w:numId w:val="11"/>
        </w:numPr>
        <w:rPr>
          <w:rFonts w:ascii="Calibri" w:eastAsia="Calibri" w:hAnsi="Calibri" w:cs="Calibri"/>
          <w:sz w:val="24"/>
          <w:szCs w:val="24"/>
        </w:rPr>
      </w:pPr>
      <w:r w:rsidRPr="3941B942">
        <w:rPr>
          <w:rFonts w:ascii="Calibri" w:eastAsia="Calibri" w:hAnsi="Calibri" w:cs="Calibri"/>
          <w:sz w:val="24"/>
          <w:szCs w:val="24"/>
        </w:rPr>
        <w:t>Authoring of document that appl</w:t>
      </w:r>
      <w:r w:rsidR="678E170B" w:rsidRPr="3941B942">
        <w:rPr>
          <w:rFonts w:ascii="Calibri" w:eastAsia="Calibri" w:hAnsi="Calibri" w:cs="Calibri"/>
          <w:sz w:val="24"/>
          <w:szCs w:val="24"/>
        </w:rPr>
        <w:t>ies</w:t>
      </w:r>
      <w:r w:rsidRPr="3941B942">
        <w:rPr>
          <w:rFonts w:ascii="Calibri" w:eastAsia="Calibri" w:hAnsi="Calibri" w:cs="Calibri"/>
          <w:sz w:val="24"/>
          <w:szCs w:val="24"/>
        </w:rPr>
        <w:t xml:space="preserve"> knowledge to improve professional practice (e.g.</w:t>
      </w:r>
      <w:r w:rsidR="5B0B08FC" w:rsidRPr="3941B942">
        <w:rPr>
          <w:rFonts w:ascii="Calibri" w:eastAsia="Calibri" w:hAnsi="Calibri" w:cs="Calibri"/>
          <w:sz w:val="24"/>
          <w:szCs w:val="24"/>
        </w:rPr>
        <w:t>,</w:t>
      </w:r>
      <w:r w:rsidR="35EB13E3" w:rsidRPr="3941B942">
        <w:rPr>
          <w:rFonts w:ascii="Calibri" w:eastAsia="Calibri" w:hAnsi="Calibri" w:cs="Calibri"/>
          <w:sz w:val="24"/>
          <w:szCs w:val="24"/>
        </w:rPr>
        <w:t xml:space="preserve"> </w:t>
      </w:r>
      <w:r w:rsidRPr="3941B942">
        <w:rPr>
          <w:rFonts w:ascii="Calibri" w:eastAsia="Calibri" w:hAnsi="Calibri" w:cs="Calibri"/>
          <w:sz w:val="24"/>
          <w:szCs w:val="24"/>
        </w:rPr>
        <w:t>editorials, newspaper/newsletter articles)</w:t>
      </w:r>
    </w:p>
    <w:p w14:paraId="4EDF1B13" w14:textId="70129F64" w:rsidR="4CFACAB0" w:rsidRDefault="4CFACAB0" w:rsidP="00181FC3">
      <w:pPr>
        <w:pStyle w:val="ListParagraph"/>
        <w:numPr>
          <w:ilvl w:val="0"/>
          <w:numId w:val="11"/>
        </w:numPr>
        <w:rPr>
          <w:rFonts w:ascii="Calibri" w:eastAsia="Calibri" w:hAnsi="Calibri" w:cs="Calibri"/>
          <w:sz w:val="24"/>
          <w:szCs w:val="24"/>
        </w:rPr>
      </w:pPr>
      <w:r w:rsidRPr="3941B942">
        <w:rPr>
          <w:rFonts w:ascii="Calibri" w:eastAsia="Calibri" w:hAnsi="Calibri" w:cs="Calibri"/>
          <w:sz w:val="24"/>
          <w:szCs w:val="24"/>
        </w:rPr>
        <w:t>Active involvement in professional organization</w:t>
      </w:r>
    </w:p>
    <w:p w14:paraId="744CBA1F" w14:textId="1F55CB88" w:rsidR="00316B1B" w:rsidRDefault="7C32172B" w:rsidP="00181FC3">
      <w:pPr>
        <w:pStyle w:val="ListParagraph"/>
        <w:numPr>
          <w:ilvl w:val="0"/>
          <w:numId w:val="11"/>
        </w:numPr>
        <w:rPr>
          <w:rFonts w:ascii="Calibri" w:eastAsia="Calibri" w:hAnsi="Calibri" w:cs="Calibri"/>
          <w:sz w:val="24"/>
          <w:szCs w:val="24"/>
        </w:rPr>
      </w:pPr>
      <w:r w:rsidRPr="3941B942">
        <w:rPr>
          <w:rFonts w:ascii="Calibri" w:eastAsia="Calibri" w:hAnsi="Calibri" w:cs="Calibri"/>
          <w:sz w:val="24"/>
          <w:szCs w:val="24"/>
        </w:rPr>
        <w:t>A</w:t>
      </w:r>
      <w:r w:rsidR="16501180" w:rsidRPr="3941B942">
        <w:rPr>
          <w:rFonts w:ascii="Calibri" w:eastAsia="Calibri" w:hAnsi="Calibri" w:cs="Calibri"/>
          <w:sz w:val="24"/>
          <w:szCs w:val="24"/>
        </w:rPr>
        <w:t xml:space="preserve">ttending </w:t>
      </w:r>
      <w:r w:rsidR="47637176" w:rsidRPr="3941B942">
        <w:rPr>
          <w:rFonts w:ascii="Calibri" w:eastAsia="Calibri" w:hAnsi="Calibri" w:cs="Calibri"/>
          <w:sz w:val="24"/>
          <w:szCs w:val="24"/>
        </w:rPr>
        <w:t xml:space="preserve">a </w:t>
      </w:r>
      <w:r w:rsidR="16501180" w:rsidRPr="3941B942">
        <w:rPr>
          <w:rFonts w:ascii="Calibri" w:eastAsia="Calibri" w:hAnsi="Calibri" w:cs="Calibri"/>
          <w:sz w:val="24"/>
          <w:szCs w:val="24"/>
        </w:rPr>
        <w:t>state, regional, or national conference</w:t>
      </w:r>
    </w:p>
    <w:p w14:paraId="60C94AED" w14:textId="756A70F7" w:rsidR="00316B1B" w:rsidRDefault="16501180" w:rsidP="00181FC3">
      <w:pPr>
        <w:pStyle w:val="ListParagraph"/>
        <w:numPr>
          <w:ilvl w:val="0"/>
          <w:numId w:val="11"/>
        </w:numPr>
        <w:rPr>
          <w:rFonts w:ascii="Calibri" w:eastAsia="Calibri" w:hAnsi="Calibri" w:cs="Calibri"/>
          <w:sz w:val="24"/>
          <w:szCs w:val="24"/>
        </w:rPr>
      </w:pPr>
      <w:r w:rsidRPr="3941B942">
        <w:rPr>
          <w:rFonts w:ascii="Calibri" w:eastAsia="Calibri" w:hAnsi="Calibri" w:cs="Calibri"/>
          <w:sz w:val="24"/>
          <w:szCs w:val="24"/>
        </w:rPr>
        <w:t>Attending course</w:t>
      </w:r>
      <w:r w:rsidR="1FCC65D9" w:rsidRPr="3941B942">
        <w:rPr>
          <w:rFonts w:ascii="Calibri" w:eastAsia="Calibri" w:hAnsi="Calibri" w:cs="Calibri"/>
          <w:sz w:val="24"/>
          <w:szCs w:val="24"/>
        </w:rPr>
        <w:t xml:space="preserve"> or</w:t>
      </w:r>
      <w:r w:rsidRPr="3941B942">
        <w:rPr>
          <w:rFonts w:ascii="Calibri" w:eastAsia="Calibri" w:hAnsi="Calibri" w:cs="Calibri"/>
          <w:sz w:val="24"/>
          <w:szCs w:val="24"/>
        </w:rPr>
        <w:t xml:space="preserve"> workshop relevant to one’s professional identity and professional practice</w:t>
      </w:r>
    </w:p>
    <w:p w14:paraId="35848AE5" w14:textId="2B2923E5" w:rsidR="00316B1B" w:rsidRDefault="16501180" w:rsidP="00181FC3">
      <w:pPr>
        <w:pStyle w:val="ListParagraph"/>
        <w:numPr>
          <w:ilvl w:val="0"/>
          <w:numId w:val="11"/>
        </w:numPr>
        <w:rPr>
          <w:rFonts w:ascii="Calibri" w:eastAsia="Calibri" w:hAnsi="Calibri" w:cs="Calibri"/>
          <w:sz w:val="24"/>
          <w:szCs w:val="24"/>
        </w:rPr>
      </w:pPr>
      <w:r w:rsidRPr="666A0591">
        <w:rPr>
          <w:rFonts w:ascii="Calibri" w:eastAsia="Calibri" w:hAnsi="Calibri" w:cs="Calibri"/>
          <w:sz w:val="24"/>
          <w:szCs w:val="24"/>
        </w:rPr>
        <w:lastRenderedPageBreak/>
        <w:t>Primary facilitator of research-based professional development workshop at the local level</w:t>
      </w:r>
    </w:p>
    <w:p w14:paraId="23BCCFDD" w14:textId="588870CF" w:rsidR="07764ACB" w:rsidRDefault="07764ACB" w:rsidP="00181FC3">
      <w:pPr>
        <w:pStyle w:val="ListParagraph"/>
        <w:numPr>
          <w:ilvl w:val="0"/>
          <w:numId w:val="11"/>
        </w:numPr>
        <w:rPr>
          <w:rFonts w:ascii="Calibri" w:eastAsia="Calibri" w:hAnsi="Calibri" w:cs="Calibri"/>
          <w:sz w:val="24"/>
          <w:szCs w:val="24"/>
        </w:rPr>
      </w:pPr>
      <w:r w:rsidRPr="6B3E84FA">
        <w:rPr>
          <w:rFonts w:ascii="Calibri" w:eastAsia="Calibri" w:hAnsi="Calibri" w:cs="Calibri"/>
          <w:sz w:val="24"/>
          <w:szCs w:val="24"/>
        </w:rPr>
        <w:t>Submitting a grant or fellowship application (although not ultimately funded)</w:t>
      </w:r>
    </w:p>
    <w:p w14:paraId="040CA73A" w14:textId="51438BCF" w:rsidR="16501180" w:rsidRDefault="16501180" w:rsidP="00181FC3">
      <w:pPr>
        <w:pStyle w:val="ListParagraph"/>
        <w:numPr>
          <w:ilvl w:val="0"/>
          <w:numId w:val="11"/>
        </w:numPr>
        <w:rPr>
          <w:rFonts w:ascii="Calibri" w:eastAsia="Calibri" w:hAnsi="Calibri" w:cs="Calibri"/>
          <w:sz w:val="24"/>
          <w:szCs w:val="24"/>
        </w:rPr>
      </w:pPr>
      <w:r w:rsidRPr="6B3E84FA">
        <w:rPr>
          <w:rFonts w:ascii="Calibri" w:eastAsia="Calibri" w:hAnsi="Calibri" w:cs="Calibri"/>
          <w:sz w:val="24"/>
          <w:szCs w:val="24"/>
        </w:rPr>
        <w:t>Submitting a manuscript for publication (although not yet accepted for publication)</w:t>
      </w:r>
      <w:r w:rsidR="1BB77697" w:rsidRPr="6B3E84FA">
        <w:rPr>
          <w:rFonts w:ascii="Calibri" w:eastAsia="Calibri" w:hAnsi="Calibri" w:cs="Calibri"/>
          <w:sz w:val="24"/>
          <w:szCs w:val="24"/>
        </w:rPr>
        <w:t xml:space="preserve"> </w:t>
      </w:r>
    </w:p>
    <w:p w14:paraId="212C7223" w14:textId="77E59568" w:rsidR="6F863C59" w:rsidRDefault="497B23F0" w:rsidP="00181FC3">
      <w:pPr>
        <w:pStyle w:val="ListParagraph"/>
        <w:numPr>
          <w:ilvl w:val="0"/>
          <w:numId w:val="11"/>
        </w:numPr>
        <w:rPr>
          <w:rFonts w:ascii="Calibri" w:eastAsia="Calibri" w:hAnsi="Calibri" w:cs="Calibri"/>
          <w:sz w:val="24"/>
          <w:szCs w:val="24"/>
        </w:rPr>
      </w:pPr>
      <w:r w:rsidRPr="5A23F500">
        <w:rPr>
          <w:rFonts w:ascii="Calibri" w:eastAsia="Calibri" w:hAnsi="Calibri" w:cs="Calibri"/>
          <w:sz w:val="24"/>
          <w:szCs w:val="24"/>
        </w:rPr>
        <w:t>Serving as a d</w:t>
      </w:r>
      <w:r w:rsidR="6F863C59" w:rsidRPr="5A23F500">
        <w:rPr>
          <w:rFonts w:ascii="Calibri" w:eastAsia="Calibri" w:hAnsi="Calibri" w:cs="Calibri"/>
          <w:sz w:val="24"/>
          <w:szCs w:val="24"/>
        </w:rPr>
        <w:t xml:space="preserve">issertation committee member </w:t>
      </w:r>
    </w:p>
    <w:p w14:paraId="0507E073" w14:textId="45C247D3" w:rsidR="7F4342FB" w:rsidRDefault="7F4342FB" w:rsidP="00181FC3">
      <w:pPr>
        <w:pStyle w:val="ListParagraph"/>
        <w:numPr>
          <w:ilvl w:val="0"/>
          <w:numId w:val="11"/>
        </w:numPr>
        <w:rPr>
          <w:rFonts w:ascii="Calibri" w:eastAsia="Calibri" w:hAnsi="Calibri" w:cs="Calibri"/>
          <w:sz w:val="24"/>
          <w:szCs w:val="24"/>
        </w:rPr>
      </w:pPr>
      <w:r w:rsidRPr="6B3E84FA">
        <w:rPr>
          <w:rFonts w:ascii="Calibri" w:eastAsia="Calibri" w:hAnsi="Calibri" w:cs="Calibri"/>
          <w:sz w:val="24"/>
          <w:szCs w:val="24"/>
        </w:rPr>
        <w:t>Chairing or co-chairing a professional conference or strand of a conference</w:t>
      </w:r>
    </w:p>
    <w:p w14:paraId="48846326" w14:textId="2FC83695" w:rsidR="7905C36D" w:rsidRDefault="7905C36D" w:rsidP="00181FC3">
      <w:pPr>
        <w:pStyle w:val="ListParagraph"/>
        <w:numPr>
          <w:ilvl w:val="0"/>
          <w:numId w:val="11"/>
        </w:numPr>
        <w:rPr>
          <w:rFonts w:ascii="Calibri" w:eastAsia="Calibri" w:hAnsi="Calibri" w:cs="Calibri"/>
          <w:sz w:val="24"/>
          <w:szCs w:val="24"/>
        </w:rPr>
      </w:pPr>
      <w:r w:rsidRPr="6B3E84FA">
        <w:rPr>
          <w:rFonts w:ascii="Calibri" w:eastAsia="Calibri" w:hAnsi="Calibri" w:cs="Calibri"/>
          <w:sz w:val="24"/>
          <w:szCs w:val="24"/>
        </w:rPr>
        <w:t>Receiving an award for scholarly or creative work</w:t>
      </w:r>
    </w:p>
    <w:p w14:paraId="0BF88904" w14:textId="1BF3F61B" w:rsidR="56095D97" w:rsidRDefault="56095D97" w:rsidP="00181FC3">
      <w:pPr>
        <w:pStyle w:val="ListParagraph"/>
        <w:numPr>
          <w:ilvl w:val="0"/>
          <w:numId w:val="11"/>
        </w:numPr>
        <w:rPr>
          <w:rFonts w:ascii="Calibri" w:eastAsia="Calibri" w:hAnsi="Calibri" w:cs="Calibri"/>
          <w:sz w:val="24"/>
          <w:szCs w:val="24"/>
        </w:rPr>
      </w:pPr>
      <w:r w:rsidRPr="6B3E84FA">
        <w:rPr>
          <w:rFonts w:ascii="Calibri" w:eastAsia="Calibri" w:hAnsi="Calibri" w:cs="Calibri"/>
          <w:sz w:val="24"/>
          <w:szCs w:val="24"/>
        </w:rPr>
        <w:t>Other evidence of ongoing professional activity</w:t>
      </w:r>
    </w:p>
    <w:p w14:paraId="1F9CF2CB" w14:textId="7A10E1D9" w:rsidR="00316B1B" w:rsidRDefault="16501180" w:rsidP="46A020A9">
      <w:r w:rsidRPr="1F1F22CC">
        <w:rPr>
          <w:rFonts w:ascii="Calibri" w:eastAsia="Calibri" w:hAnsi="Calibri" w:cs="Calibri"/>
          <w:sz w:val="24"/>
          <w:szCs w:val="24"/>
        </w:rPr>
        <w:t xml:space="preserve">  </w:t>
      </w:r>
    </w:p>
    <w:p w14:paraId="4E18712A" w14:textId="176C9F6A" w:rsidR="00316B1B" w:rsidRDefault="6C162787" w:rsidP="1993C977">
      <w:pPr>
        <w:pStyle w:val="Heading1"/>
        <w:rPr>
          <w:rStyle w:val="Heading1Char"/>
        </w:rPr>
      </w:pPr>
      <w:bookmarkStart w:id="27" w:name="_Toc1956504215"/>
      <w:bookmarkStart w:id="28" w:name="_Toc1172867228"/>
      <w:r w:rsidRPr="3941B942">
        <w:rPr>
          <w:rStyle w:val="Heading1Char"/>
        </w:rPr>
        <w:t>PART 5: Service</w:t>
      </w:r>
      <w:bookmarkEnd w:id="27"/>
      <w:bookmarkEnd w:id="28"/>
    </w:p>
    <w:p w14:paraId="0AF47AB5" w14:textId="200B18A5" w:rsidR="00316B1B" w:rsidRDefault="1FC5D589">
      <w:r w:rsidRPr="2AF949AA">
        <w:rPr>
          <w:rFonts w:ascii="Calibri" w:eastAsia="Calibri" w:hAnsi="Calibri" w:cs="Calibri"/>
          <w:sz w:val="24"/>
          <w:szCs w:val="24"/>
        </w:rPr>
        <w:t xml:space="preserve">The most important aspect of the expectations for service within the Education Department is that service begins in the department and extends outward from there. In particular, the expectations for tenure and promotion to associate professor are mainly centered on departmental activities. The expectations for promotion to </w:t>
      </w:r>
      <w:r w:rsidR="5ED49505" w:rsidRPr="2AF949AA">
        <w:rPr>
          <w:rFonts w:ascii="Calibri" w:eastAsia="Calibri" w:hAnsi="Calibri" w:cs="Calibri"/>
          <w:sz w:val="24"/>
          <w:szCs w:val="24"/>
        </w:rPr>
        <w:t>F</w:t>
      </w:r>
      <w:r w:rsidRPr="2AF949AA">
        <w:rPr>
          <w:rFonts w:ascii="Calibri" w:eastAsia="Calibri" w:hAnsi="Calibri" w:cs="Calibri"/>
          <w:sz w:val="24"/>
          <w:szCs w:val="24"/>
        </w:rPr>
        <w:t xml:space="preserve">ull </w:t>
      </w:r>
      <w:r w:rsidR="53BC21B4" w:rsidRPr="2AF949AA">
        <w:rPr>
          <w:rFonts w:ascii="Calibri" w:eastAsia="Calibri" w:hAnsi="Calibri" w:cs="Calibri"/>
          <w:sz w:val="24"/>
          <w:szCs w:val="24"/>
        </w:rPr>
        <w:t>P</w:t>
      </w:r>
      <w:r w:rsidRPr="2AF949AA">
        <w:rPr>
          <w:rFonts w:ascii="Calibri" w:eastAsia="Calibri" w:hAnsi="Calibri" w:cs="Calibri"/>
          <w:sz w:val="24"/>
          <w:szCs w:val="24"/>
        </w:rPr>
        <w:t>rofessor include departmental, university-wide, and community initiatives.</w:t>
      </w:r>
    </w:p>
    <w:p w14:paraId="19687758" w14:textId="6168A305" w:rsidR="00316B1B" w:rsidRDefault="40CCE5F0">
      <w:r w:rsidRPr="7D46F7F5">
        <w:rPr>
          <w:rFonts w:ascii="Calibri" w:eastAsia="Calibri" w:hAnsi="Calibri" w:cs="Calibri"/>
          <w:sz w:val="24"/>
          <w:szCs w:val="24"/>
        </w:rPr>
        <w:t>Consistent with the Faculty Handbook (Section IV.6.1.3) faculty must demonstrate service in several important areas, including*:</w:t>
      </w:r>
    </w:p>
    <w:p w14:paraId="2510A2C1" w14:textId="30DE1C52" w:rsidR="00316B1B" w:rsidRDefault="2197D840" w:rsidP="3941B942">
      <w:pPr>
        <w:ind w:left="360"/>
      </w:pPr>
      <w:r w:rsidRPr="3941B942">
        <w:rPr>
          <w:rFonts w:ascii="Calibri" w:eastAsia="Calibri" w:hAnsi="Calibri" w:cs="Calibri"/>
          <w:sz w:val="24"/>
          <w:szCs w:val="24"/>
        </w:rPr>
        <w:t>1. regular and effective participation on university-wide standing committees of the faculty</w:t>
      </w:r>
    </w:p>
    <w:p w14:paraId="26C9DF6C" w14:textId="396B318A" w:rsidR="00316B1B" w:rsidRDefault="2197D840" w:rsidP="3941B942">
      <w:pPr>
        <w:ind w:left="360"/>
      </w:pPr>
      <w:r w:rsidRPr="3941B942">
        <w:rPr>
          <w:rFonts w:ascii="Calibri" w:eastAsia="Calibri" w:hAnsi="Calibri" w:cs="Calibri"/>
          <w:sz w:val="24"/>
          <w:szCs w:val="24"/>
        </w:rPr>
        <w:t>2. effective participation in departmental and divisional affairs (including service as chair where applicable)</w:t>
      </w:r>
    </w:p>
    <w:p w14:paraId="390A1668" w14:textId="7BFAD7AD" w:rsidR="00316B1B" w:rsidRDefault="2197D840" w:rsidP="3941B942">
      <w:pPr>
        <w:ind w:left="360"/>
      </w:pPr>
      <w:r w:rsidRPr="3941B942">
        <w:rPr>
          <w:rFonts w:ascii="Calibri" w:eastAsia="Calibri" w:hAnsi="Calibri" w:cs="Calibri"/>
          <w:sz w:val="24"/>
          <w:szCs w:val="24"/>
        </w:rPr>
        <w:t>3. work with student activities and organizations</w:t>
      </w:r>
    </w:p>
    <w:p w14:paraId="4C986DAD" w14:textId="3B48369E" w:rsidR="00316B1B" w:rsidRDefault="2197D840" w:rsidP="3941B942">
      <w:pPr>
        <w:ind w:left="360"/>
      </w:pPr>
      <w:r w:rsidRPr="3941B942">
        <w:rPr>
          <w:rFonts w:ascii="Calibri" w:eastAsia="Calibri" w:hAnsi="Calibri" w:cs="Calibri"/>
          <w:sz w:val="24"/>
          <w:szCs w:val="24"/>
        </w:rPr>
        <w:t>4. direct assistance with the external relations work of the university (e.g., recruiting students, speaking to alumni groups)</w:t>
      </w:r>
    </w:p>
    <w:p w14:paraId="7D775E14" w14:textId="5644F012" w:rsidR="00316B1B" w:rsidRDefault="2197D840" w:rsidP="3941B942">
      <w:pPr>
        <w:ind w:left="360"/>
      </w:pPr>
      <w:r w:rsidRPr="3941B942">
        <w:rPr>
          <w:rFonts w:ascii="Calibri" w:eastAsia="Calibri" w:hAnsi="Calibri" w:cs="Calibri"/>
          <w:sz w:val="24"/>
          <w:szCs w:val="24"/>
        </w:rPr>
        <w:t>5. service to the external community using professional knowledge and skills</w:t>
      </w:r>
    </w:p>
    <w:p w14:paraId="51B2C03D" w14:textId="6F837926" w:rsidR="00316B1B" w:rsidRDefault="2197D840" w:rsidP="3941B942">
      <w:pPr>
        <w:ind w:left="360"/>
      </w:pPr>
      <w:r w:rsidRPr="3941B942">
        <w:rPr>
          <w:rFonts w:ascii="Calibri" w:eastAsia="Calibri" w:hAnsi="Calibri" w:cs="Calibri"/>
          <w:sz w:val="24"/>
          <w:szCs w:val="24"/>
        </w:rPr>
        <w:t>6. service to a professional society/organization</w:t>
      </w:r>
    </w:p>
    <w:p w14:paraId="3F0010F7" w14:textId="4CF1EAAB" w:rsidR="00316B1B" w:rsidRDefault="2197D840">
      <w:r w:rsidRPr="666A0591">
        <w:rPr>
          <w:rFonts w:ascii="Calibri" w:eastAsia="Calibri" w:hAnsi="Calibri" w:cs="Calibri"/>
          <w:sz w:val="24"/>
          <w:szCs w:val="24"/>
        </w:rPr>
        <w:t>*</w:t>
      </w:r>
      <w:bookmarkStart w:id="29" w:name="_Int_zYhCJnSa"/>
      <w:r w:rsidR="47BD9743" w:rsidRPr="666A0591">
        <w:rPr>
          <w:rFonts w:ascii="Calibri" w:eastAsia="Calibri" w:hAnsi="Calibri" w:cs="Calibri"/>
          <w:sz w:val="24"/>
          <w:szCs w:val="24"/>
        </w:rPr>
        <w:t>W</w:t>
      </w:r>
      <w:r w:rsidRPr="666A0591">
        <w:rPr>
          <w:rFonts w:ascii="Calibri" w:eastAsia="Calibri" w:hAnsi="Calibri" w:cs="Calibri"/>
          <w:sz w:val="24"/>
          <w:szCs w:val="24"/>
        </w:rPr>
        <w:t>hile</w:t>
      </w:r>
      <w:bookmarkEnd w:id="29"/>
      <w:r w:rsidRPr="666A0591">
        <w:rPr>
          <w:rFonts w:ascii="Calibri" w:eastAsia="Calibri" w:hAnsi="Calibri" w:cs="Calibri"/>
          <w:sz w:val="24"/>
          <w:szCs w:val="24"/>
        </w:rPr>
        <w:t xml:space="preserve"> numbered here as in the Faculty Handbook, and for easy reference, the numbers listed above do not indicate any prioritization of these elements of Service. </w:t>
      </w:r>
    </w:p>
    <w:p w14:paraId="5BA26728" w14:textId="2319D248" w:rsidR="00316B1B" w:rsidRDefault="2197D840">
      <w:r w:rsidRPr="46A020A9">
        <w:rPr>
          <w:rFonts w:ascii="Calibri" w:eastAsia="Calibri" w:hAnsi="Calibri" w:cs="Calibri"/>
          <w:i/>
          <w:iCs/>
          <w:sz w:val="24"/>
          <w:szCs w:val="24"/>
        </w:rPr>
        <w:t xml:space="preserve"> </w:t>
      </w:r>
    </w:p>
    <w:p w14:paraId="11AB7A91" w14:textId="77E94335" w:rsidR="00316B1B" w:rsidRDefault="1FC5D589" w:rsidP="6B3E84FA">
      <w:pPr>
        <w:pStyle w:val="Heading2"/>
      </w:pPr>
      <w:bookmarkStart w:id="30" w:name="_Toc1885023031"/>
      <w:r>
        <w:t>5.A Promotion and Tenure Criteria: Service</w:t>
      </w:r>
      <w:bookmarkEnd w:id="30"/>
    </w:p>
    <w:p w14:paraId="1E3239A9" w14:textId="52E1A293" w:rsidR="1CB7E602" w:rsidRDefault="1CB7E602" w:rsidP="1CB7E602">
      <w:pPr>
        <w:rPr>
          <w:rFonts w:ascii="Calibri" w:eastAsia="Calibri" w:hAnsi="Calibri" w:cs="Calibri"/>
          <w:sz w:val="24"/>
          <w:szCs w:val="24"/>
          <w:u w:val="single"/>
        </w:rPr>
      </w:pPr>
    </w:p>
    <w:p w14:paraId="224C9A3C" w14:textId="73E491E9" w:rsidR="00316B1B" w:rsidRDefault="2197D840">
      <w:r w:rsidRPr="46A020A9">
        <w:rPr>
          <w:rFonts w:ascii="Calibri" w:eastAsia="Calibri" w:hAnsi="Calibri" w:cs="Calibri"/>
          <w:sz w:val="24"/>
          <w:szCs w:val="24"/>
          <w:u w:val="single"/>
        </w:rPr>
        <w:t>Promotion to Associate Professor</w:t>
      </w:r>
    </w:p>
    <w:p w14:paraId="7EDC252E" w14:textId="5F123D7A" w:rsidR="00316B1B" w:rsidRDefault="1FC5D589">
      <w:r w:rsidRPr="0A95B246">
        <w:rPr>
          <w:rFonts w:ascii="Calibri" w:eastAsia="Calibri" w:hAnsi="Calibri" w:cs="Calibri"/>
          <w:sz w:val="24"/>
          <w:szCs w:val="24"/>
        </w:rPr>
        <w:t xml:space="preserve">Candidates for promotion to Associate Professor should have a consistent record of participation in departmental activities. In particular, they should be active with many of the </w:t>
      </w:r>
      <w:r w:rsidRPr="0A95B246">
        <w:rPr>
          <w:rFonts w:ascii="Calibri" w:eastAsia="Calibri" w:hAnsi="Calibri" w:cs="Calibri"/>
          <w:sz w:val="24"/>
          <w:szCs w:val="24"/>
        </w:rPr>
        <w:lastRenderedPageBreak/>
        <w:t xml:space="preserve">items listed </w:t>
      </w:r>
      <w:r w:rsidR="7F7716DA" w:rsidRPr="0A95B246">
        <w:rPr>
          <w:rFonts w:ascii="Calibri" w:eastAsia="Calibri" w:hAnsi="Calibri" w:cs="Calibri"/>
          <w:sz w:val="24"/>
          <w:szCs w:val="24"/>
        </w:rPr>
        <w:t xml:space="preserve">below </w:t>
      </w:r>
      <w:r w:rsidRPr="0A95B246">
        <w:rPr>
          <w:rFonts w:ascii="Calibri" w:eastAsia="Calibri" w:hAnsi="Calibri" w:cs="Calibri"/>
          <w:sz w:val="24"/>
          <w:szCs w:val="24"/>
        </w:rPr>
        <w:t xml:space="preserve">under </w:t>
      </w:r>
      <w:r w:rsidR="0DDC5D2C" w:rsidRPr="0A95B246">
        <w:rPr>
          <w:rFonts w:ascii="Calibri" w:eastAsia="Calibri" w:hAnsi="Calibri" w:cs="Calibri"/>
          <w:sz w:val="24"/>
          <w:szCs w:val="24"/>
        </w:rPr>
        <w:t xml:space="preserve">Service to the </w:t>
      </w:r>
      <w:r w:rsidRPr="0A95B246">
        <w:rPr>
          <w:rFonts w:ascii="Calibri" w:eastAsia="Calibri" w:hAnsi="Calibri" w:cs="Calibri"/>
          <w:sz w:val="24"/>
          <w:szCs w:val="24"/>
        </w:rPr>
        <w:t>Department. Candidates should be able to demonstrate a positive trajectory of service that is beginning to expand their focus to include college- or university-wide service or activities which serve the community. Candidates are e</w:t>
      </w:r>
      <w:r w:rsidR="6AF68C91" w:rsidRPr="0A95B246">
        <w:rPr>
          <w:rFonts w:ascii="Calibri" w:eastAsia="Calibri" w:hAnsi="Calibri" w:cs="Calibri"/>
          <w:sz w:val="24"/>
          <w:szCs w:val="24"/>
        </w:rPr>
        <w:t>xpect</w:t>
      </w:r>
      <w:r w:rsidRPr="0A95B246">
        <w:rPr>
          <w:rFonts w:ascii="Calibri" w:eastAsia="Calibri" w:hAnsi="Calibri" w:cs="Calibri"/>
          <w:sz w:val="24"/>
          <w:szCs w:val="24"/>
        </w:rPr>
        <w:t>ed to have begun making contributions beyond the Education Department to the broader college,</w:t>
      </w:r>
      <w:r w:rsidR="442DC220" w:rsidRPr="0A95B246">
        <w:rPr>
          <w:rFonts w:ascii="Calibri" w:eastAsia="Calibri" w:hAnsi="Calibri" w:cs="Calibri"/>
          <w:sz w:val="24"/>
          <w:szCs w:val="24"/>
        </w:rPr>
        <w:t xml:space="preserve"> </w:t>
      </w:r>
      <w:r w:rsidRPr="0A95B246">
        <w:rPr>
          <w:rFonts w:ascii="Calibri" w:eastAsia="Calibri" w:hAnsi="Calibri" w:cs="Calibri"/>
          <w:sz w:val="24"/>
          <w:szCs w:val="24"/>
        </w:rPr>
        <w:t>university and community needs.</w:t>
      </w:r>
    </w:p>
    <w:p w14:paraId="756C0A16" w14:textId="57FD5F91" w:rsidR="00316B1B" w:rsidRDefault="00316B1B" w:rsidP="1CB7E602">
      <w:pPr>
        <w:rPr>
          <w:rFonts w:ascii="Calibri" w:eastAsia="Calibri" w:hAnsi="Calibri" w:cs="Calibri"/>
          <w:sz w:val="24"/>
          <w:szCs w:val="24"/>
        </w:rPr>
      </w:pPr>
    </w:p>
    <w:p w14:paraId="2697A5D2" w14:textId="322398CC" w:rsidR="00316B1B" w:rsidRDefault="2197D840">
      <w:r w:rsidRPr="46A020A9">
        <w:rPr>
          <w:rFonts w:ascii="Calibri" w:eastAsia="Calibri" w:hAnsi="Calibri" w:cs="Calibri"/>
          <w:sz w:val="24"/>
          <w:szCs w:val="24"/>
          <w:u w:val="single"/>
        </w:rPr>
        <w:t>Promotion to Professor</w:t>
      </w:r>
    </w:p>
    <w:p w14:paraId="2930BB84" w14:textId="48E2E8E8" w:rsidR="00316B1B" w:rsidRDefault="1FC5D589">
      <w:r w:rsidRPr="666A0591">
        <w:rPr>
          <w:rFonts w:ascii="Calibri" w:eastAsia="Calibri" w:hAnsi="Calibri" w:cs="Calibri"/>
          <w:sz w:val="24"/>
          <w:szCs w:val="24"/>
        </w:rPr>
        <w:t xml:space="preserve">For candidates applying for the rank of </w:t>
      </w:r>
      <w:r w:rsidR="6C4319C4" w:rsidRPr="666A0591">
        <w:rPr>
          <w:rFonts w:ascii="Calibri" w:eastAsia="Calibri" w:hAnsi="Calibri" w:cs="Calibri"/>
          <w:sz w:val="24"/>
          <w:szCs w:val="24"/>
        </w:rPr>
        <w:t>F</w:t>
      </w:r>
      <w:r w:rsidRPr="666A0591">
        <w:rPr>
          <w:rFonts w:ascii="Calibri" w:eastAsia="Calibri" w:hAnsi="Calibri" w:cs="Calibri"/>
          <w:sz w:val="24"/>
          <w:szCs w:val="24"/>
        </w:rPr>
        <w:t xml:space="preserve">ull </w:t>
      </w:r>
      <w:r w:rsidR="4E79F108" w:rsidRPr="666A0591">
        <w:rPr>
          <w:rFonts w:ascii="Calibri" w:eastAsia="Calibri" w:hAnsi="Calibri" w:cs="Calibri"/>
          <w:sz w:val="24"/>
          <w:szCs w:val="24"/>
        </w:rPr>
        <w:t>P</w:t>
      </w:r>
      <w:r w:rsidRPr="666A0591">
        <w:rPr>
          <w:rFonts w:ascii="Calibri" w:eastAsia="Calibri" w:hAnsi="Calibri" w:cs="Calibri"/>
          <w:sz w:val="24"/>
          <w:szCs w:val="24"/>
        </w:rPr>
        <w:t>rofessor, it is expected that they have not only been an active participant in departmental activities but have been engaged in college</w:t>
      </w:r>
      <w:r w:rsidR="7C71DBB1" w:rsidRPr="666A0591">
        <w:rPr>
          <w:rFonts w:ascii="Calibri" w:eastAsia="Calibri" w:hAnsi="Calibri" w:cs="Calibri"/>
          <w:sz w:val="24"/>
          <w:szCs w:val="24"/>
        </w:rPr>
        <w:t>-</w:t>
      </w:r>
      <w:r w:rsidRPr="666A0591">
        <w:rPr>
          <w:rFonts w:ascii="Calibri" w:eastAsia="Calibri" w:hAnsi="Calibri" w:cs="Calibri"/>
          <w:sz w:val="24"/>
          <w:szCs w:val="24"/>
        </w:rPr>
        <w:t xml:space="preserve"> and university-wide initiatives and service to the community in the period since their last promotion. Moreover, in order to achieve special merit in the category of service, some notion of leadership should be involved. This could be through serving as the chair of a standing or ad hoc committee, fulfilling a department leadership role (e.g.</w:t>
      </w:r>
      <w:r w:rsidR="4FBC02E9" w:rsidRPr="666A0591">
        <w:rPr>
          <w:rFonts w:ascii="Calibri" w:eastAsia="Calibri" w:hAnsi="Calibri" w:cs="Calibri"/>
          <w:sz w:val="24"/>
          <w:szCs w:val="24"/>
        </w:rPr>
        <w:t>,</w:t>
      </w:r>
      <w:r w:rsidRPr="666A0591">
        <w:rPr>
          <w:rFonts w:ascii="Calibri" w:eastAsia="Calibri" w:hAnsi="Calibri" w:cs="Calibri"/>
          <w:sz w:val="24"/>
          <w:szCs w:val="24"/>
        </w:rPr>
        <w:t xml:space="preserve"> Coordinator role), or leadership in a professional society or organization. Special merit in service may also be achieved by leading, albeit more informally, a significant campus-wide initiative, possibly as an active contributing member of one of the committees or groups on campus. </w:t>
      </w:r>
    </w:p>
    <w:p w14:paraId="23D47A67" w14:textId="66471C88" w:rsidR="00316B1B" w:rsidRDefault="2197D840">
      <w:r w:rsidRPr="6B3E84FA">
        <w:rPr>
          <w:rFonts w:ascii="Calibri" w:eastAsia="Calibri" w:hAnsi="Calibri" w:cs="Calibri"/>
          <w:sz w:val="24"/>
          <w:szCs w:val="24"/>
        </w:rPr>
        <w:t xml:space="preserve"> </w:t>
      </w:r>
    </w:p>
    <w:p w14:paraId="45A23C57" w14:textId="7AE84631" w:rsidR="00316B1B" w:rsidRDefault="1FC5D589" w:rsidP="3941B942">
      <w:pPr>
        <w:pStyle w:val="Heading2"/>
        <w:rPr>
          <w:rFonts w:ascii="Calibri" w:eastAsia="Calibri" w:hAnsi="Calibri" w:cs="Calibri"/>
          <w:i/>
          <w:iCs/>
          <w:sz w:val="24"/>
          <w:szCs w:val="24"/>
        </w:rPr>
      </w:pPr>
      <w:bookmarkStart w:id="31" w:name="_Toc1800216434"/>
      <w:r>
        <w:t>5.B Evidence of Service</w:t>
      </w:r>
      <w:bookmarkEnd w:id="31"/>
    </w:p>
    <w:p w14:paraId="525DB497" w14:textId="6290E302" w:rsidR="1CB7E602" w:rsidRDefault="1CB7E602" w:rsidP="1CB7E602">
      <w:pPr>
        <w:rPr>
          <w:rFonts w:ascii="Calibri" w:eastAsia="Calibri" w:hAnsi="Calibri" w:cs="Calibri"/>
          <w:sz w:val="24"/>
          <w:szCs w:val="24"/>
        </w:rPr>
      </w:pPr>
    </w:p>
    <w:p w14:paraId="042F1438" w14:textId="60CC04A4" w:rsidR="00316B1B" w:rsidRDefault="41EDD7EA" w:rsidP="6B29013E">
      <w:pPr>
        <w:rPr>
          <w:rFonts w:ascii="Calibri" w:eastAsia="Calibri" w:hAnsi="Calibri" w:cs="Calibri"/>
          <w:sz w:val="24"/>
          <w:szCs w:val="24"/>
        </w:rPr>
      </w:pPr>
      <w:r w:rsidRPr="3941B942">
        <w:rPr>
          <w:rFonts w:ascii="Calibri" w:eastAsia="Calibri" w:hAnsi="Calibri" w:cs="Calibri"/>
          <w:sz w:val="24"/>
          <w:szCs w:val="24"/>
        </w:rPr>
        <w:t>Examples</w:t>
      </w:r>
      <w:r w:rsidR="40CCE5F0" w:rsidRPr="3941B942">
        <w:rPr>
          <w:rFonts w:ascii="Calibri" w:eastAsia="Calibri" w:hAnsi="Calibri" w:cs="Calibri"/>
          <w:sz w:val="24"/>
          <w:szCs w:val="24"/>
        </w:rPr>
        <w:t xml:space="preserve"> of service will vary according to the opportunities available, as well as the faculty member’s interest and expertise. The lists below are not exhaustive, and they are not meant to serve as a checklist. Within each category of service, the order of examples does not indicate any prioritization of elements of one’s service.</w:t>
      </w:r>
    </w:p>
    <w:p w14:paraId="25437A9C" w14:textId="54940BE3" w:rsidR="00316B1B" w:rsidRDefault="2197D840">
      <w:r w:rsidRPr="46A020A9">
        <w:rPr>
          <w:rFonts w:ascii="Calibri" w:eastAsia="Calibri" w:hAnsi="Calibri" w:cs="Calibri"/>
          <w:b/>
          <w:bCs/>
          <w:sz w:val="24"/>
          <w:szCs w:val="24"/>
        </w:rPr>
        <w:t>Service to the Department</w:t>
      </w:r>
    </w:p>
    <w:p w14:paraId="5FD261F2" w14:textId="1A437951" w:rsidR="00316B1B" w:rsidRDefault="2197D840">
      <w:r w:rsidRPr="2AF949AA">
        <w:rPr>
          <w:rFonts w:ascii="Calibri" w:eastAsia="Calibri" w:hAnsi="Calibri" w:cs="Calibri"/>
          <w:sz w:val="24"/>
          <w:szCs w:val="24"/>
        </w:rPr>
        <w:t>The Education Department has a number of regular tasks which need to be performed to support program and accreditation requirements and to foster the sense of community and collaborative work environment we value as a program. These include:</w:t>
      </w:r>
    </w:p>
    <w:p w14:paraId="1456A19D" w14:textId="686F3B3F" w:rsidR="00316B1B" w:rsidRDefault="2197D840" w:rsidP="00181FC3">
      <w:pPr>
        <w:pStyle w:val="ListParagraph"/>
        <w:numPr>
          <w:ilvl w:val="0"/>
          <w:numId w:val="10"/>
        </w:numPr>
        <w:rPr>
          <w:rFonts w:ascii="Calibri" w:eastAsia="Calibri" w:hAnsi="Calibri" w:cs="Calibri"/>
          <w:sz w:val="24"/>
          <w:szCs w:val="24"/>
        </w:rPr>
      </w:pPr>
      <w:r w:rsidRPr="46A020A9">
        <w:rPr>
          <w:rFonts w:ascii="Calibri" w:eastAsia="Calibri" w:hAnsi="Calibri" w:cs="Calibri"/>
          <w:sz w:val="24"/>
          <w:szCs w:val="24"/>
        </w:rPr>
        <w:t>Regularly attending department meetings</w:t>
      </w:r>
    </w:p>
    <w:p w14:paraId="735E6302" w14:textId="3FF6D31B" w:rsidR="00316B1B" w:rsidRDefault="2197D840" w:rsidP="00181FC3">
      <w:pPr>
        <w:pStyle w:val="ListParagraph"/>
        <w:numPr>
          <w:ilvl w:val="0"/>
          <w:numId w:val="10"/>
        </w:numPr>
        <w:rPr>
          <w:rFonts w:ascii="Calibri" w:eastAsia="Calibri" w:hAnsi="Calibri" w:cs="Calibri"/>
          <w:sz w:val="24"/>
          <w:szCs w:val="24"/>
        </w:rPr>
      </w:pPr>
      <w:r w:rsidRPr="46A020A9">
        <w:rPr>
          <w:rFonts w:ascii="Calibri" w:eastAsia="Calibri" w:hAnsi="Calibri" w:cs="Calibri"/>
          <w:sz w:val="24"/>
          <w:szCs w:val="24"/>
        </w:rPr>
        <w:t>Active cooperation and participation in program review and accreditation responsibilities</w:t>
      </w:r>
    </w:p>
    <w:p w14:paraId="7FD2FCDF" w14:textId="2888B54E" w:rsidR="00316B1B" w:rsidRDefault="2197D840" w:rsidP="00181FC3">
      <w:pPr>
        <w:pStyle w:val="ListParagraph"/>
        <w:numPr>
          <w:ilvl w:val="0"/>
          <w:numId w:val="10"/>
        </w:numPr>
        <w:rPr>
          <w:rFonts w:ascii="Calibri" w:eastAsia="Calibri" w:hAnsi="Calibri" w:cs="Calibri"/>
          <w:sz w:val="24"/>
          <w:szCs w:val="24"/>
        </w:rPr>
      </w:pPr>
      <w:r w:rsidRPr="2FC4D52D">
        <w:rPr>
          <w:rFonts w:ascii="Calibri" w:eastAsia="Calibri" w:hAnsi="Calibri" w:cs="Calibri"/>
          <w:sz w:val="24"/>
          <w:szCs w:val="24"/>
        </w:rPr>
        <w:t>Serving on ad hoc committees and working groups (</w:t>
      </w:r>
      <w:r w:rsidR="0040C831" w:rsidRPr="2FC4D52D">
        <w:rPr>
          <w:rFonts w:ascii="Calibri" w:eastAsia="Calibri" w:hAnsi="Calibri" w:cs="Calibri"/>
          <w:sz w:val="24"/>
          <w:szCs w:val="24"/>
        </w:rPr>
        <w:t>e.g.,</w:t>
      </w:r>
      <w:r w:rsidRPr="2FC4D52D">
        <w:rPr>
          <w:rFonts w:ascii="Calibri" w:eastAsia="Calibri" w:hAnsi="Calibri" w:cs="Calibri"/>
          <w:sz w:val="24"/>
          <w:szCs w:val="24"/>
        </w:rPr>
        <w:t xml:space="preserve"> search committees)</w:t>
      </w:r>
    </w:p>
    <w:p w14:paraId="47B589FE" w14:textId="6CE42772" w:rsidR="00316B1B" w:rsidRDefault="2197D840" w:rsidP="00181FC3">
      <w:pPr>
        <w:pStyle w:val="ListParagraph"/>
        <w:numPr>
          <w:ilvl w:val="0"/>
          <w:numId w:val="10"/>
        </w:numPr>
        <w:rPr>
          <w:rFonts w:ascii="Calibri" w:eastAsia="Calibri" w:hAnsi="Calibri" w:cs="Calibri"/>
          <w:sz w:val="24"/>
          <w:szCs w:val="24"/>
        </w:rPr>
      </w:pPr>
      <w:r w:rsidRPr="46A020A9">
        <w:rPr>
          <w:rFonts w:ascii="Calibri" w:eastAsia="Calibri" w:hAnsi="Calibri" w:cs="Calibri"/>
          <w:sz w:val="24"/>
          <w:szCs w:val="24"/>
        </w:rPr>
        <w:t>Fall and Spring Teacher Education Program Celebration Nights (welcoming accepted students into the Teacher Education Program and orienting them to responsibilities and dispositions)</w:t>
      </w:r>
    </w:p>
    <w:p w14:paraId="648FE093" w14:textId="76F7AEF9" w:rsidR="00316B1B" w:rsidRDefault="1FC5D589" w:rsidP="00181FC3">
      <w:pPr>
        <w:pStyle w:val="ListParagraph"/>
        <w:numPr>
          <w:ilvl w:val="0"/>
          <w:numId w:val="10"/>
        </w:numPr>
        <w:rPr>
          <w:rFonts w:ascii="Calibri" w:eastAsia="Calibri" w:hAnsi="Calibri" w:cs="Calibri"/>
          <w:sz w:val="24"/>
          <w:szCs w:val="24"/>
          <w:highlight w:val="yellow"/>
        </w:rPr>
      </w:pPr>
      <w:r w:rsidRPr="1CB7E602">
        <w:rPr>
          <w:rFonts w:ascii="Calibri" w:eastAsia="Calibri" w:hAnsi="Calibri" w:cs="Calibri"/>
          <w:sz w:val="24"/>
          <w:szCs w:val="24"/>
        </w:rPr>
        <w:lastRenderedPageBreak/>
        <w:t>Fall and Spring Consortium (events where the Education Program shares current updates with members of the Yamhill County and Willamette Valley education community and seeks input from local stakeholders)</w:t>
      </w:r>
    </w:p>
    <w:p w14:paraId="1CC07D27" w14:textId="785102C4" w:rsidR="00316B1B" w:rsidRDefault="2197D840" w:rsidP="00181FC3">
      <w:pPr>
        <w:pStyle w:val="ListParagraph"/>
        <w:numPr>
          <w:ilvl w:val="0"/>
          <w:numId w:val="10"/>
        </w:numPr>
        <w:rPr>
          <w:rFonts w:ascii="Calibri" w:eastAsia="Calibri" w:hAnsi="Calibri" w:cs="Calibri"/>
          <w:sz w:val="24"/>
          <w:szCs w:val="24"/>
        </w:rPr>
      </w:pPr>
      <w:r w:rsidRPr="46A020A9">
        <w:rPr>
          <w:rFonts w:ascii="Calibri" w:eastAsia="Calibri" w:hAnsi="Calibri" w:cs="Calibri"/>
          <w:sz w:val="24"/>
          <w:szCs w:val="24"/>
        </w:rPr>
        <w:t>Fall Department Open House</w:t>
      </w:r>
    </w:p>
    <w:p w14:paraId="2C1E44A4" w14:textId="19713F0D" w:rsidR="00316B1B" w:rsidRDefault="2197D840" w:rsidP="00181FC3">
      <w:pPr>
        <w:pStyle w:val="ListParagraph"/>
        <w:numPr>
          <w:ilvl w:val="0"/>
          <w:numId w:val="10"/>
        </w:numPr>
        <w:rPr>
          <w:rFonts w:ascii="Calibri" w:eastAsia="Calibri" w:hAnsi="Calibri" w:cs="Calibri"/>
          <w:sz w:val="24"/>
          <w:szCs w:val="24"/>
        </w:rPr>
      </w:pPr>
      <w:r w:rsidRPr="46A020A9">
        <w:rPr>
          <w:rFonts w:ascii="Calibri" w:eastAsia="Calibri" w:hAnsi="Calibri" w:cs="Calibri"/>
          <w:sz w:val="24"/>
          <w:szCs w:val="24"/>
        </w:rPr>
        <w:t>Education Club Advisor</w:t>
      </w:r>
    </w:p>
    <w:p w14:paraId="1ACFD13C" w14:textId="05D1AAF4" w:rsidR="00316B1B" w:rsidRDefault="1FC5D589" w:rsidP="00181FC3">
      <w:pPr>
        <w:pStyle w:val="ListParagraph"/>
        <w:numPr>
          <w:ilvl w:val="0"/>
          <w:numId w:val="10"/>
        </w:numPr>
        <w:rPr>
          <w:rFonts w:ascii="Calibri" w:eastAsia="Calibri" w:hAnsi="Calibri" w:cs="Calibri"/>
          <w:sz w:val="24"/>
          <w:szCs w:val="24"/>
        </w:rPr>
      </w:pPr>
      <w:r w:rsidRPr="1CB7E602">
        <w:rPr>
          <w:rFonts w:ascii="Calibri" w:eastAsia="Calibri" w:hAnsi="Calibri" w:cs="Calibri"/>
          <w:sz w:val="24"/>
          <w:szCs w:val="24"/>
        </w:rPr>
        <w:t xml:space="preserve">Bilingual Teacher Scholars </w:t>
      </w:r>
      <w:r w:rsidR="5275D9CA" w:rsidRPr="1CB7E602">
        <w:rPr>
          <w:rFonts w:ascii="Calibri" w:eastAsia="Calibri" w:hAnsi="Calibri" w:cs="Calibri"/>
          <w:sz w:val="24"/>
          <w:szCs w:val="24"/>
        </w:rPr>
        <w:t>Advisor</w:t>
      </w:r>
    </w:p>
    <w:p w14:paraId="59CF9A73" w14:textId="1C77DB12" w:rsidR="00316B1B" w:rsidRDefault="1FC5D589" w:rsidP="00181FC3">
      <w:pPr>
        <w:pStyle w:val="ListParagraph"/>
        <w:numPr>
          <w:ilvl w:val="0"/>
          <w:numId w:val="10"/>
        </w:numPr>
        <w:rPr>
          <w:rFonts w:ascii="Calibri" w:eastAsia="Calibri" w:hAnsi="Calibri" w:cs="Calibri"/>
          <w:sz w:val="24"/>
          <w:szCs w:val="24"/>
        </w:rPr>
      </w:pPr>
      <w:r w:rsidRPr="1CB7E602">
        <w:rPr>
          <w:rFonts w:ascii="Calibri" w:eastAsia="Calibri" w:hAnsi="Calibri" w:cs="Calibri"/>
          <w:sz w:val="24"/>
          <w:szCs w:val="24"/>
        </w:rPr>
        <w:t>Kappa Delta Pi Education Honor Society Advisor</w:t>
      </w:r>
    </w:p>
    <w:p w14:paraId="7A9703FD" w14:textId="26B974E2" w:rsidR="00316B1B" w:rsidRDefault="2197D840" w:rsidP="00181FC3">
      <w:pPr>
        <w:pStyle w:val="ListParagraph"/>
        <w:numPr>
          <w:ilvl w:val="0"/>
          <w:numId w:val="10"/>
        </w:numPr>
        <w:rPr>
          <w:rFonts w:ascii="Calibri" w:eastAsia="Calibri" w:hAnsi="Calibri" w:cs="Calibri"/>
          <w:sz w:val="24"/>
          <w:szCs w:val="24"/>
        </w:rPr>
      </w:pPr>
      <w:r w:rsidRPr="3941B942">
        <w:rPr>
          <w:rFonts w:ascii="Calibri" w:eastAsia="Calibri" w:hAnsi="Calibri" w:cs="Calibri"/>
          <w:sz w:val="24"/>
          <w:szCs w:val="24"/>
        </w:rPr>
        <w:t>Facilitation of evaluation of transfer credits for counting towards a Linfield degree</w:t>
      </w:r>
    </w:p>
    <w:p w14:paraId="441BB837" w14:textId="616B8A05" w:rsidR="00316B1B" w:rsidRDefault="1FC5D589">
      <w:r w:rsidRPr="666A0591">
        <w:rPr>
          <w:rFonts w:ascii="Calibri" w:eastAsia="Calibri" w:hAnsi="Calibri" w:cs="Calibri"/>
          <w:sz w:val="24"/>
          <w:szCs w:val="24"/>
        </w:rPr>
        <w:t xml:space="preserve">Some departmental </w:t>
      </w:r>
      <w:r w:rsidR="09519EAF" w:rsidRPr="666A0591">
        <w:rPr>
          <w:rFonts w:ascii="Calibri" w:eastAsia="Calibri" w:hAnsi="Calibri" w:cs="Calibri"/>
          <w:sz w:val="24"/>
          <w:szCs w:val="24"/>
        </w:rPr>
        <w:t xml:space="preserve">service </w:t>
      </w:r>
      <w:r w:rsidRPr="666A0591">
        <w:rPr>
          <w:rFonts w:ascii="Calibri" w:eastAsia="Calibri" w:hAnsi="Calibri" w:cs="Calibri"/>
          <w:sz w:val="24"/>
          <w:szCs w:val="24"/>
        </w:rPr>
        <w:t xml:space="preserve">tasks fall within the description and responsibilities of leadership roles for which faculty are reassigned time from their teaching duties, including: </w:t>
      </w:r>
    </w:p>
    <w:p w14:paraId="559B15E6" w14:textId="5F832991" w:rsidR="00316B1B" w:rsidRDefault="2197D840" w:rsidP="00181FC3">
      <w:pPr>
        <w:pStyle w:val="ListParagraph"/>
        <w:numPr>
          <w:ilvl w:val="0"/>
          <w:numId w:val="9"/>
        </w:numPr>
        <w:rPr>
          <w:rFonts w:ascii="Calibri" w:eastAsia="Calibri" w:hAnsi="Calibri" w:cs="Calibri"/>
          <w:sz w:val="24"/>
          <w:szCs w:val="24"/>
        </w:rPr>
      </w:pPr>
      <w:r w:rsidRPr="2AF949AA">
        <w:rPr>
          <w:rFonts w:ascii="Calibri" w:eastAsia="Calibri" w:hAnsi="Calibri" w:cs="Calibri"/>
          <w:sz w:val="24"/>
          <w:szCs w:val="24"/>
        </w:rPr>
        <w:t>Elementary and Secondary Coordinators: assist in hiring and assigning of university supervisors for student</w:t>
      </w:r>
      <w:r w:rsidR="3730F99C" w:rsidRPr="2AF949AA">
        <w:rPr>
          <w:rFonts w:ascii="Calibri" w:eastAsia="Calibri" w:hAnsi="Calibri" w:cs="Calibri"/>
          <w:sz w:val="24"/>
          <w:szCs w:val="24"/>
        </w:rPr>
        <w:t>-</w:t>
      </w:r>
      <w:r w:rsidRPr="2AF949AA">
        <w:rPr>
          <w:rFonts w:ascii="Calibri" w:eastAsia="Calibri" w:hAnsi="Calibri" w:cs="Calibri"/>
          <w:sz w:val="24"/>
          <w:szCs w:val="24"/>
        </w:rPr>
        <w:t>teachers, review student</w:t>
      </w:r>
      <w:r w:rsidR="29154AB4" w:rsidRPr="2AF949AA">
        <w:rPr>
          <w:rFonts w:ascii="Calibri" w:eastAsia="Calibri" w:hAnsi="Calibri" w:cs="Calibri"/>
          <w:sz w:val="24"/>
          <w:szCs w:val="24"/>
        </w:rPr>
        <w:t>-</w:t>
      </w:r>
      <w:r w:rsidRPr="2AF949AA">
        <w:rPr>
          <w:rFonts w:ascii="Calibri" w:eastAsia="Calibri" w:hAnsi="Calibri" w:cs="Calibri"/>
          <w:sz w:val="24"/>
          <w:szCs w:val="24"/>
        </w:rPr>
        <w:t>teaching placements, update numerous documents and calendars each semester, schedule and facilitate university supervisor professional development meetings, mediate student</w:t>
      </w:r>
      <w:r w:rsidR="521F17F3" w:rsidRPr="2AF949AA">
        <w:rPr>
          <w:rFonts w:ascii="Calibri" w:eastAsia="Calibri" w:hAnsi="Calibri" w:cs="Calibri"/>
          <w:sz w:val="24"/>
          <w:szCs w:val="24"/>
        </w:rPr>
        <w:t>-</w:t>
      </w:r>
      <w:r w:rsidRPr="2AF949AA">
        <w:rPr>
          <w:rFonts w:ascii="Calibri" w:eastAsia="Calibri" w:hAnsi="Calibri" w:cs="Calibri"/>
          <w:sz w:val="24"/>
          <w:szCs w:val="24"/>
        </w:rPr>
        <w:t>teaching/placement issues, and facilitate the university supervisor evaluation process</w:t>
      </w:r>
    </w:p>
    <w:p w14:paraId="50A4A10C" w14:textId="786B6243" w:rsidR="00316B1B" w:rsidRDefault="2197D840" w:rsidP="00181FC3">
      <w:pPr>
        <w:pStyle w:val="ListParagraph"/>
        <w:numPr>
          <w:ilvl w:val="0"/>
          <w:numId w:val="9"/>
        </w:numPr>
        <w:rPr>
          <w:rFonts w:ascii="Calibri" w:eastAsia="Calibri" w:hAnsi="Calibri" w:cs="Calibri"/>
          <w:sz w:val="24"/>
          <w:szCs w:val="24"/>
        </w:rPr>
      </w:pPr>
      <w:r w:rsidRPr="2AF949AA">
        <w:rPr>
          <w:rFonts w:ascii="Calibri" w:eastAsia="Calibri" w:hAnsi="Calibri" w:cs="Calibri"/>
          <w:sz w:val="24"/>
          <w:szCs w:val="24"/>
        </w:rPr>
        <w:t>ESOL Coordinator: continued program development for the ESOL endorsement, assist in hiring and assigning of university supervisors for student</w:t>
      </w:r>
      <w:r w:rsidR="4BD2D0A4" w:rsidRPr="2AF949AA">
        <w:rPr>
          <w:rFonts w:ascii="Calibri" w:eastAsia="Calibri" w:hAnsi="Calibri" w:cs="Calibri"/>
          <w:sz w:val="24"/>
          <w:szCs w:val="24"/>
        </w:rPr>
        <w:t>-</w:t>
      </w:r>
      <w:r w:rsidRPr="2AF949AA">
        <w:rPr>
          <w:rFonts w:ascii="Calibri" w:eastAsia="Calibri" w:hAnsi="Calibri" w:cs="Calibri"/>
          <w:sz w:val="24"/>
          <w:szCs w:val="24"/>
        </w:rPr>
        <w:t>teachers, review student</w:t>
      </w:r>
      <w:r w:rsidR="0E07E7A0" w:rsidRPr="2AF949AA">
        <w:rPr>
          <w:rFonts w:ascii="Calibri" w:eastAsia="Calibri" w:hAnsi="Calibri" w:cs="Calibri"/>
          <w:sz w:val="24"/>
          <w:szCs w:val="24"/>
        </w:rPr>
        <w:t>-</w:t>
      </w:r>
      <w:r w:rsidRPr="2AF949AA">
        <w:rPr>
          <w:rFonts w:ascii="Calibri" w:eastAsia="Calibri" w:hAnsi="Calibri" w:cs="Calibri"/>
          <w:sz w:val="24"/>
          <w:szCs w:val="24"/>
        </w:rPr>
        <w:t>teaching placements, update ESOL documents, mediate student</w:t>
      </w:r>
      <w:r w:rsidR="43DCCD3E" w:rsidRPr="2AF949AA">
        <w:rPr>
          <w:rFonts w:ascii="Calibri" w:eastAsia="Calibri" w:hAnsi="Calibri" w:cs="Calibri"/>
          <w:sz w:val="24"/>
          <w:szCs w:val="24"/>
        </w:rPr>
        <w:t>-</w:t>
      </w:r>
      <w:r w:rsidRPr="2AF949AA">
        <w:rPr>
          <w:rFonts w:ascii="Calibri" w:eastAsia="Calibri" w:hAnsi="Calibri" w:cs="Calibri"/>
          <w:sz w:val="24"/>
          <w:szCs w:val="24"/>
        </w:rPr>
        <w:t>teaching/placement issues, and facilitate ongoing support for ESOL student</w:t>
      </w:r>
      <w:r w:rsidR="2736A302" w:rsidRPr="2AF949AA">
        <w:rPr>
          <w:rFonts w:ascii="Calibri" w:eastAsia="Calibri" w:hAnsi="Calibri" w:cs="Calibri"/>
          <w:sz w:val="24"/>
          <w:szCs w:val="24"/>
        </w:rPr>
        <w:t>-</w:t>
      </w:r>
      <w:r w:rsidRPr="2AF949AA">
        <w:rPr>
          <w:rFonts w:ascii="Calibri" w:eastAsia="Calibri" w:hAnsi="Calibri" w:cs="Calibri"/>
          <w:sz w:val="24"/>
          <w:szCs w:val="24"/>
        </w:rPr>
        <w:t>teachers</w:t>
      </w:r>
    </w:p>
    <w:p w14:paraId="5186F9AE" w14:textId="44F8B42E" w:rsidR="00316B1B" w:rsidRDefault="40CCE5F0" w:rsidP="00181FC3">
      <w:pPr>
        <w:pStyle w:val="ListParagraph"/>
        <w:numPr>
          <w:ilvl w:val="0"/>
          <w:numId w:val="9"/>
        </w:numPr>
        <w:rPr>
          <w:rFonts w:ascii="Calibri" w:eastAsia="Calibri" w:hAnsi="Calibri" w:cs="Calibri"/>
          <w:sz w:val="24"/>
          <w:szCs w:val="24"/>
        </w:rPr>
      </w:pPr>
      <w:r w:rsidRPr="0A95B246">
        <w:rPr>
          <w:rFonts w:ascii="Calibri" w:eastAsia="Calibri" w:hAnsi="Calibri" w:cs="Calibri"/>
          <w:sz w:val="24"/>
          <w:szCs w:val="24"/>
        </w:rPr>
        <w:t>Graduate ESOL Endorsement Program Director</w:t>
      </w:r>
      <w:r w:rsidR="57456577" w:rsidRPr="0A95B246">
        <w:rPr>
          <w:rFonts w:ascii="Calibri" w:eastAsia="Calibri" w:hAnsi="Calibri" w:cs="Calibri"/>
          <w:sz w:val="24"/>
          <w:szCs w:val="24"/>
        </w:rPr>
        <w:t>:</w:t>
      </w:r>
      <w:r w:rsidR="0396C0AB" w:rsidRPr="0A95B246">
        <w:rPr>
          <w:rFonts w:ascii="Calibri" w:eastAsia="Calibri" w:hAnsi="Calibri" w:cs="Calibri"/>
          <w:sz w:val="24"/>
          <w:szCs w:val="24"/>
        </w:rPr>
        <w:t xml:space="preserve"> continued program development for the ESOL endorsement, assist in hiring and assigning of university supervisors and adjuncts, review student-teaching placements, update ESOL documents, mediate student-teaching/placement issues, and facilitate ongoing support</w:t>
      </w:r>
      <w:r w:rsidR="503E0D1C" w:rsidRPr="0A95B246">
        <w:rPr>
          <w:rFonts w:ascii="Calibri" w:eastAsia="Calibri" w:hAnsi="Calibri" w:cs="Calibri"/>
          <w:sz w:val="24"/>
          <w:szCs w:val="24"/>
        </w:rPr>
        <w:t>, build partnerships with school districts, market the endorsement to school districts, conduct information mee</w:t>
      </w:r>
      <w:r w:rsidR="3A791A33" w:rsidRPr="0A95B246">
        <w:rPr>
          <w:rFonts w:ascii="Calibri" w:eastAsia="Calibri" w:hAnsi="Calibri" w:cs="Calibri"/>
          <w:sz w:val="24"/>
          <w:szCs w:val="24"/>
        </w:rPr>
        <w:t>tings for prospective students, maintain ongoing relationships with district administration, faci</w:t>
      </w:r>
      <w:r w:rsidR="0D75AD5C" w:rsidRPr="0A95B246">
        <w:rPr>
          <w:rFonts w:ascii="Calibri" w:eastAsia="Calibri" w:hAnsi="Calibri" w:cs="Calibri"/>
          <w:sz w:val="24"/>
          <w:szCs w:val="24"/>
        </w:rPr>
        <w:t>litate billing between school district and Linfield, assist in registration</w:t>
      </w:r>
      <w:r w:rsidR="26C92761" w:rsidRPr="0A95B246">
        <w:rPr>
          <w:rFonts w:ascii="Calibri" w:eastAsia="Calibri" w:hAnsi="Calibri" w:cs="Calibri"/>
          <w:sz w:val="24"/>
          <w:szCs w:val="24"/>
        </w:rPr>
        <w:t xml:space="preserve"> and technology use</w:t>
      </w:r>
    </w:p>
    <w:p w14:paraId="6BAA5EDA" w14:textId="03C39C80" w:rsidR="00316B1B" w:rsidRDefault="40CCE5F0" w:rsidP="00181FC3">
      <w:pPr>
        <w:pStyle w:val="ListParagraph"/>
        <w:numPr>
          <w:ilvl w:val="0"/>
          <w:numId w:val="9"/>
        </w:numPr>
        <w:rPr>
          <w:rFonts w:ascii="Calibri" w:eastAsia="Calibri" w:hAnsi="Calibri" w:cs="Calibri"/>
          <w:sz w:val="24"/>
          <w:szCs w:val="24"/>
        </w:rPr>
      </w:pPr>
      <w:r w:rsidRPr="7D46F7F5">
        <w:rPr>
          <w:rFonts w:ascii="Calibri" w:eastAsia="Calibri" w:hAnsi="Calibri" w:cs="Calibri"/>
          <w:sz w:val="24"/>
          <w:szCs w:val="24"/>
        </w:rPr>
        <w:t>Special Education Coordinator: continued program development for the Special Education endorsement and graduate program, assist in hiring and assigning of university supervisors for student</w:t>
      </w:r>
      <w:r w:rsidR="363ED8BF" w:rsidRPr="7D46F7F5">
        <w:rPr>
          <w:rFonts w:ascii="Calibri" w:eastAsia="Calibri" w:hAnsi="Calibri" w:cs="Calibri"/>
          <w:sz w:val="24"/>
          <w:szCs w:val="24"/>
        </w:rPr>
        <w:t>-</w:t>
      </w:r>
      <w:r w:rsidRPr="7D46F7F5">
        <w:rPr>
          <w:rFonts w:ascii="Calibri" w:eastAsia="Calibri" w:hAnsi="Calibri" w:cs="Calibri"/>
          <w:sz w:val="24"/>
          <w:szCs w:val="24"/>
        </w:rPr>
        <w:t>teachers, review student</w:t>
      </w:r>
      <w:r w:rsidR="7A1E3580" w:rsidRPr="7D46F7F5">
        <w:rPr>
          <w:rFonts w:ascii="Calibri" w:eastAsia="Calibri" w:hAnsi="Calibri" w:cs="Calibri"/>
          <w:sz w:val="24"/>
          <w:szCs w:val="24"/>
        </w:rPr>
        <w:t>-</w:t>
      </w:r>
      <w:r w:rsidRPr="7D46F7F5">
        <w:rPr>
          <w:rFonts w:ascii="Calibri" w:eastAsia="Calibri" w:hAnsi="Calibri" w:cs="Calibri"/>
          <w:sz w:val="24"/>
          <w:szCs w:val="24"/>
        </w:rPr>
        <w:t>teaching placements, update Special Education documents, mediate student</w:t>
      </w:r>
      <w:r w:rsidR="66C9E076" w:rsidRPr="7D46F7F5">
        <w:rPr>
          <w:rFonts w:ascii="Calibri" w:eastAsia="Calibri" w:hAnsi="Calibri" w:cs="Calibri"/>
          <w:sz w:val="24"/>
          <w:szCs w:val="24"/>
        </w:rPr>
        <w:t>-</w:t>
      </w:r>
      <w:r w:rsidRPr="7D46F7F5">
        <w:rPr>
          <w:rFonts w:ascii="Calibri" w:eastAsia="Calibri" w:hAnsi="Calibri" w:cs="Calibri"/>
          <w:sz w:val="24"/>
          <w:szCs w:val="24"/>
        </w:rPr>
        <w:t>teaching/placement issues, and facilitate ongoing support for Special Education student</w:t>
      </w:r>
      <w:r w:rsidR="629E3806" w:rsidRPr="7D46F7F5">
        <w:rPr>
          <w:rFonts w:ascii="Calibri" w:eastAsia="Calibri" w:hAnsi="Calibri" w:cs="Calibri"/>
          <w:sz w:val="24"/>
          <w:szCs w:val="24"/>
        </w:rPr>
        <w:t>-</w:t>
      </w:r>
      <w:r w:rsidRPr="7D46F7F5">
        <w:rPr>
          <w:rFonts w:ascii="Calibri" w:eastAsia="Calibri" w:hAnsi="Calibri" w:cs="Calibri"/>
          <w:sz w:val="24"/>
          <w:szCs w:val="24"/>
        </w:rPr>
        <w:t>teachers</w:t>
      </w:r>
    </w:p>
    <w:p w14:paraId="07577C5B" w14:textId="11E37653" w:rsidR="00316B1B" w:rsidRDefault="2197D840" w:rsidP="1F1F22CC">
      <w:pPr>
        <w:rPr>
          <w:rFonts w:ascii="Calibri" w:eastAsia="Calibri" w:hAnsi="Calibri" w:cs="Calibri"/>
          <w:b/>
          <w:bCs/>
          <w:sz w:val="24"/>
          <w:szCs w:val="24"/>
        </w:rPr>
      </w:pPr>
      <w:r w:rsidRPr="666A0591">
        <w:rPr>
          <w:rFonts w:ascii="Calibri" w:eastAsia="Calibri" w:hAnsi="Calibri" w:cs="Calibri"/>
          <w:b/>
          <w:bCs/>
          <w:sz w:val="24"/>
          <w:szCs w:val="24"/>
        </w:rPr>
        <w:t>Service to the College and University</w:t>
      </w:r>
    </w:p>
    <w:p w14:paraId="357DAA46" w14:textId="1965B6A6" w:rsidR="00316B1B" w:rsidRDefault="2197D840" w:rsidP="00181FC3">
      <w:pPr>
        <w:pStyle w:val="ListParagraph"/>
        <w:numPr>
          <w:ilvl w:val="0"/>
          <w:numId w:val="8"/>
        </w:numPr>
        <w:rPr>
          <w:rFonts w:ascii="Calibri" w:eastAsia="Calibri" w:hAnsi="Calibri" w:cs="Calibri"/>
          <w:sz w:val="24"/>
          <w:szCs w:val="24"/>
        </w:rPr>
      </w:pPr>
      <w:r w:rsidRPr="666A0591">
        <w:rPr>
          <w:rFonts w:ascii="Calibri" w:eastAsia="Calibri" w:hAnsi="Calibri" w:cs="Calibri"/>
          <w:sz w:val="24"/>
          <w:szCs w:val="24"/>
        </w:rPr>
        <w:t>Serving as a representative on a standing faculty committee at the college or university level (e.g.</w:t>
      </w:r>
      <w:r w:rsidR="53E04CD3" w:rsidRPr="666A0591">
        <w:rPr>
          <w:rFonts w:ascii="Calibri" w:eastAsia="Calibri" w:hAnsi="Calibri" w:cs="Calibri"/>
          <w:sz w:val="24"/>
          <w:szCs w:val="24"/>
        </w:rPr>
        <w:t>,</w:t>
      </w:r>
      <w:r w:rsidRPr="666A0591">
        <w:rPr>
          <w:rFonts w:ascii="Calibri" w:eastAsia="Calibri" w:hAnsi="Calibri" w:cs="Calibri"/>
          <w:sz w:val="24"/>
          <w:szCs w:val="24"/>
        </w:rPr>
        <w:t xml:space="preserve"> Faculty Senate, Promotion and Tenure, </w:t>
      </w:r>
      <w:r w:rsidR="39542E9E" w:rsidRPr="666A0591">
        <w:rPr>
          <w:rFonts w:ascii="Calibri" w:eastAsia="Calibri" w:hAnsi="Calibri" w:cs="Calibri"/>
          <w:sz w:val="24"/>
          <w:szCs w:val="24"/>
        </w:rPr>
        <w:t>Curriculum Committee, Budget and Finance, Student Policies</w:t>
      </w:r>
      <w:r w:rsidRPr="666A0591">
        <w:rPr>
          <w:rFonts w:ascii="Calibri" w:eastAsia="Calibri" w:hAnsi="Calibri" w:cs="Calibri"/>
          <w:sz w:val="24"/>
          <w:szCs w:val="24"/>
        </w:rPr>
        <w:t>)</w:t>
      </w:r>
    </w:p>
    <w:p w14:paraId="10516B58" w14:textId="5599D3F8" w:rsidR="00316B1B" w:rsidRDefault="2197D840" w:rsidP="00181FC3">
      <w:pPr>
        <w:pStyle w:val="ListParagraph"/>
        <w:numPr>
          <w:ilvl w:val="0"/>
          <w:numId w:val="8"/>
        </w:numPr>
        <w:rPr>
          <w:rFonts w:ascii="Calibri" w:eastAsia="Calibri" w:hAnsi="Calibri" w:cs="Calibri"/>
          <w:sz w:val="24"/>
          <w:szCs w:val="24"/>
        </w:rPr>
      </w:pPr>
      <w:r w:rsidRPr="666A0591">
        <w:rPr>
          <w:rFonts w:ascii="Calibri" w:eastAsia="Calibri" w:hAnsi="Calibri" w:cs="Calibri"/>
          <w:sz w:val="24"/>
          <w:szCs w:val="24"/>
        </w:rPr>
        <w:lastRenderedPageBreak/>
        <w:t>Serving as a member of an ad hoc committee, campus committee, or working group</w:t>
      </w:r>
      <w:r w:rsidR="39A2C23C" w:rsidRPr="666A0591">
        <w:rPr>
          <w:rFonts w:ascii="Calibri" w:eastAsia="Calibri" w:hAnsi="Calibri" w:cs="Calibri"/>
          <w:sz w:val="24"/>
          <w:szCs w:val="24"/>
        </w:rPr>
        <w:t xml:space="preserve"> outside of the Education Department</w:t>
      </w:r>
      <w:r w:rsidRPr="666A0591">
        <w:rPr>
          <w:rFonts w:ascii="Calibri" w:eastAsia="Calibri" w:hAnsi="Calibri" w:cs="Calibri"/>
          <w:sz w:val="24"/>
          <w:szCs w:val="24"/>
        </w:rPr>
        <w:t xml:space="preserve"> (e.g.</w:t>
      </w:r>
      <w:r w:rsidR="611B23CD" w:rsidRPr="666A0591">
        <w:rPr>
          <w:rFonts w:ascii="Calibri" w:eastAsia="Calibri" w:hAnsi="Calibri" w:cs="Calibri"/>
          <w:sz w:val="24"/>
          <w:szCs w:val="24"/>
        </w:rPr>
        <w:t>,</w:t>
      </w:r>
      <w:r w:rsidRPr="666A0591">
        <w:rPr>
          <w:rFonts w:ascii="Calibri" w:eastAsia="Calibri" w:hAnsi="Calibri" w:cs="Calibri"/>
          <w:sz w:val="24"/>
          <w:szCs w:val="24"/>
        </w:rPr>
        <w:t xml:space="preserve"> curriculum, assessment, </w:t>
      </w:r>
      <w:bookmarkStart w:id="32" w:name="_Int_Y60SRrtj"/>
      <w:r w:rsidR="5FD6BFF2" w:rsidRPr="666A0591">
        <w:rPr>
          <w:rFonts w:ascii="Calibri" w:eastAsia="Calibri" w:hAnsi="Calibri" w:cs="Calibri"/>
          <w:sz w:val="24"/>
          <w:szCs w:val="24"/>
        </w:rPr>
        <w:t>GERC</w:t>
      </w:r>
      <w:bookmarkEnd w:id="32"/>
      <w:r w:rsidR="5FD6BFF2" w:rsidRPr="666A0591">
        <w:rPr>
          <w:rFonts w:ascii="Calibri" w:eastAsia="Calibri" w:hAnsi="Calibri" w:cs="Calibri"/>
          <w:sz w:val="24"/>
          <w:szCs w:val="24"/>
        </w:rPr>
        <w:t xml:space="preserve"> Working Groups, </w:t>
      </w:r>
      <w:r w:rsidRPr="666A0591">
        <w:rPr>
          <w:rFonts w:ascii="Calibri" w:eastAsia="Calibri" w:hAnsi="Calibri" w:cs="Calibri"/>
          <w:sz w:val="24"/>
          <w:szCs w:val="24"/>
        </w:rPr>
        <w:t>Linfield Advising Council</w:t>
      </w:r>
      <w:r w:rsidR="0164C4EF" w:rsidRPr="666A0591">
        <w:rPr>
          <w:rFonts w:ascii="Calibri" w:eastAsia="Calibri" w:hAnsi="Calibri" w:cs="Calibri"/>
          <w:sz w:val="24"/>
          <w:szCs w:val="24"/>
        </w:rPr>
        <w:t>, Title IX</w:t>
      </w:r>
      <w:r w:rsidRPr="666A0591">
        <w:rPr>
          <w:rFonts w:ascii="Calibri" w:eastAsia="Calibri" w:hAnsi="Calibri" w:cs="Calibri"/>
          <w:sz w:val="24"/>
          <w:szCs w:val="24"/>
        </w:rPr>
        <w:t>)</w:t>
      </w:r>
    </w:p>
    <w:p w14:paraId="47233519" w14:textId="486867E6" w:rsidR="00316B1B" w:rsidRDefault="40CCE5F0" w:rsidP="00181FC3">
      <w:pPr>
        <w:pStyle w:val="ListParagraph"/>
        <w:numPr>
          <w:ilvl w:val="0"/>
          <w:numId w:val="8"/>
        </w:numPr>
        <w:rPr>
          <w:rFonts w:ascii="Calibri" w:eastAsia="Calibri" w:hAnsi="Calibri" w:cs="Calibri"/>
          <w:sz w:val="24"/>
          <w:szCs w:val="24"/>
        </w:rPr>
      </w:pPr>
      <w:r w:rsidRPr="666A0591">
        <w:rPr>
          <w:rFonts w:ascii="Calibri" w:eastAsia="Calibri" w:hAnsi="Calibri" w:cs="Calibri"/>
          <w:sz w:val="24"/>
          <w:szCs w:val="24"/>
        </w:rPr>
        <w:t>Special assignments within the administration, such as serving as Associate Dean of CAS</w:t>
      </w:r>
    </w:p>
    <w:p w14:paraId="1DEAD616" w14:textId="7CD03923" w:rsidR="00316B1B" w:rsidRDefault="2197D840" w:rsidP="00181FC3">
      <w:pPr>
        <w:pStyle w:val="ListParagraph"/>
        <w:numPr>
          <w:ilvl w:val="0"/>
          <w:numId w:val="8"/>
        </w:numPr>
        <w:rPr>
          <w:rFonts w:ascii="Calibri" w:eastAsia="Calibri" w:hAnsi="Calibri" w:cs="Calibri"/>
          <w:sz w:val="24"/>
          <w:szCs w:val="24"/>
        </w:rPr>
      </w:pPr>
      <w:r w:rsidRPr="3941B942">
        <w:rPr>
          <w:rFonts w:ascii="Calibri" w:eastAsia="Calibri" w:hAnsi="Calibri" w:cs="Calibri"/>
          <w:sz w:val="24"/>
          <w:szCs w:val="24"/>
        </w:rPr>
        <w:t xml:space="preserve">Admissions </w:t>
      </w:r>
      <w:r w:rsidR="04B3B290" w:rsidRPr="3941B942">
        <w:rPr>
          <w:rFonts w:ascii="Calibri" w:eastAsia="Calibri" w:hAnsi="Calibri" w:cs="Calibri"/>
          <w:sz w:val="24"/>
          <w:szCs w:val="24"/>
        </w:rPr>
        <w:t xml:space="preserve">and </w:t>
      </w:r>
      <w:r w:rsidRPr="3941B942">
        <w:rPr>
          <w:rFonts w:ascii="Calibri" w:eastAsia="Calibri" w:hAnsi="Calibri" w:cs="Calibri"/>
          <w:sz w:val="24"/>
          <w:szCs w:val="24"/>
        </w:rPr>
        <w:t>recruitment</w:t>
      </w:r>
      <w:r w:rsidR="46E7642F" w:rsidRPr="3941B942">
        <w:rPr>
          <w:rFonts w:ascii="Calibri" w:eastAsia="Calibri" w:hAnsi="Calibri" w:cs="Calibri"/>
          <w:sz w:val="24"/>
          <w:szCs w:val="24"/>
        </w:rPr>
        <w:t xml:space="preserve"> work</w:t>
      </w:r>
    </w:p>
    <w:p w14:paraId="1BDCA1E7" w14:textId="6F130D0A" w:rsidR="1E8E16FD" w:rsidRDefault="1E8E16FD" w:rsidP="00181FC3">
      <w:pPr>
        <w:pStyle w:val="ListParagraph"/>
        <w:numPr>
          <w:ilvl w:val="0"/>
          <w:numId w:val="8"/>
        </w:numPr>
        <w:rPr>
          <w:rFonts w:ascii="Calibri" w:eastAsia="Calibri" w:hAnsi="Calibri" w:cs="Calibri"/>
          <w:sz w:val="24"/>
          <w:szCs w:val="24"/>
        </w:rPr>
      </w:pPr>
      <w:r w:rsidRPr="3941B942">
        <w:rPr>
          <w:rFonts w:ascii="Calibri" w:eastAsia="Calibri" w:hAnsi="Calibri" w:cs="Calibri"/>
          <w:sz w:val="24"/>
          <w:szCs w:val="24"/>
        </w:rPr>
        <w:t>Serving as a First Gen mentor</w:t>
      </w:r>
    </w:p>
    <w:p w14:paraId="424C6322" w14:textId="71F5E120" w:rsidR="00316B1B" w:rsidRDefault="40CCE5F0" w:rsidP="00181FC3">
      <w:pPr>
        <w:pStyle w:val="ListParagraph"/>
        <w:numPr>
          <w:ilvl w:val="0"/>
          <w:numId w:val="8"/>
        </w:numPr>
        <w:rPr>
          <w:rFonts w:ascii="Calibri" w:eastAsia="Calibri" w:hAnsi="Calibri" w:cs="Calibri"/>
          <w:sz w:val="24"/>
          <w:szCs w:val="24"/>
        </w:rPr>
      </w:pPr>
      <w:r w:rsidRPr="666A0591">
        <w:rPr>
          <w:rFonts w:ascii="Calibri" w:eastAsia="Calibri" w:hAnsi="Calibri" w:cs="Calibri"/>
          <w:sz w:val="24"/>
          <w:szCs w:val="24"/>
        </w:rPr>
        <w:t xml:space="preserve">Participating in the organization and/or facilitation of campus events </w:t>
      </w:r>
      <w:r w:rsidR="6F5E5B16" w:rsidRPr="666A0591">
        <w:rPr>
          <w:rFonts w:ascii="Calibri" w:eastAsia="Calibri" w:hAnsi="Calibri" w:cs="Calibri"/>
          <w:sz w:val="24"/>
          <w:szCs w:val="24"/>
        </w:rPr>
        <w:t>(</w:t>
      </w:r>
      <w:r w:rsidR="6A7C84EA" w:rsidRPr="666A0591">
        <w:rPr>
          <w:rFonts w:ascii="Calibri" w:eastAsia="Calibri" w:hAnsi="Calibri" w:cs="Calibri"/>
          <w:sz w:val="24"/>
          <w:szCs w:val="24"/>
        </w:rPr>
        <w:t>e.g.,</w:t>
      </w:r>
      <w:r w:rsidR="6F5E5B16" w:rsidRPr="666A0591">
        <w:rPr>
          <w:rFonts w:ascii="Calibri" w:eastAsia="Calibri" w:hAnsi="Calibri" w:cs="Calibri"/>
          <w:sz w:val="24"/>
          <w:szCs w:val="24"/>
        </w:rPr>
        <w:t xml:space="preserve"> </w:t>
      </w:r>
      <w:r w:rsidR="60EBAEA1" w:rsidRPr="666A0591">
        <w:rPr>
          <w:rFonts w:ascii="Calibri" w:eastAsia="Calibri" w:hAnsi="Calibri" w:cs="Calibri"/>
          <w:sz w:val="24"/>
          <w:szCs w:val="24"/>
        </w:rPr>
        <w:t>Academic Academy,</w:t>
      </w:r>
      <w:r w:rsidR="61145C90" w:rsidRPr="666A0591">
        <w:rPr>
          <w:rFonts w:ascii="Calibri" w:eastAsia="Calibri" w:hAnsi="Calibri" w:cs="Calibri"/>
          <w:sz w:val="24"/>
          <w:szCs w:val="24"/>
        </w:rPr>
        <w:t xml:space="preserve"> new student orientation)</w:t>
      </w:r>
      <w:r w:rsidR="2197D840" w:rsidRPr="666A0591">
        <w:rPr>
          <w:rFonts w:ascii="Calibri" w:eastAsia="Calibri" w:hAnsi="Calibri" w:cs="Calibri"/>
          <w:sz w:val="24"/>
          <w:szCs w:val="24"/>
        </w:rPr>
        <w:t xml:space="preserve"> </w:t>
      </w:r>
    </w:p>
    <w:p w14:paraId="7686425A" w14:textId="43372C48" w:rsidR="00316B1B" w:rsidRDefault="1FC5D589">
      <w:r w:rsidRPr="2FC4D52D">
        <w:rPr>
          <w:rFonts w:ascii="Calibri" w:eastAsia="Calibri" w:hAnsi="Calibri" w:cs="Calibri"/>
          <w:b/>
          <w:bCs/>
          <w:sz w:val="24"/>
          <w:szCs w:val="24"/>
        </w:rPr>
        <w:t>Service to the Teaching Profession and Community</w:t>
      </w:r>
    </w:p>
    <w:p w14:paraId="3B343AB6" w14:textId="300DD2E7" w:rsidR="00316B1B" w:rsidRDefault="2197D840">
      <w:r w:rsidRPr="46A020A9">
        <w:rPr>
          <w:rFonts w:ascii="Calibri" w:eastAsia="Calibri" w:hAnsi="Calibri" w:cs="Calibri"/>
          <w:sz w:val="24"/>
          <w:szCs w:val="24"/>
        </w:rPr>
        <w:t xml:space="preserve">The Education Department also welcomes service in positions beyond the college and university that contribute to the disciplines of education and teacher education, raise awareness about the work of educators, or engage students and the larger public in questions related to education. Examples of this may include but are not limited to: </w:t>
      </w:r>
    </w:p>
    <w:p w14:paraId="3F8AA75D" w14:textId="5B7C2280" w:rsidR="00316B1B" w:rsidRDefault="2197D840" w:rsidP="00181FC3">
      <w:pPr>
        <w:pStyle w:val="ListParagraph"/>
        <w:numPr>
          <w:ilvl w:val="0"/>
          <w:numId w:val="7"/>
        </w:numPr>
        <w:rPr>
          <w:rFonts w:ascii="Calibri" w:eastAsia="Calibri" w:hAnsi="Calibri" w:cs="Calibri"/>
          <w:sz w:val="24"/>
          <w:szCs w:val="24"/>
        </w:rPr>
      </w:pPr>
      <w:r w:rsidRPr="3941B942">
        <w:rPr>
          <w:rFonts w:ascii="Calibri" w:eastAsia="Calibri" w:hAnsi="Calibri" w:cs="Calibri"/>
          <w:sz w:val="24"/>
          <w:szCs w:val="24"/>
        </w:rPr>
        <w:t>Presenting a workshop or teaching a course for a community-facing group on an education topic</w:t>
      </w:r>
      <w:r w:rsidR="6BF5405B" w:rsidRPr="3941B942">
        <w:rPr>
          <w:rFonts w:ascii="Calibri" w:eastAsia="Calibri" w:hAnsi="Calibri" w:cs="Calibri"/>
          <w:sz w:val="24"/>
          <w:szCs w:val="24"/>
        </w:rPr>
        <w:t xml:space="preserve"> (e.g., Ready for Kindergarten parenting course)</w:t>
      </w:r>
    </w:p>
    <w:p w14:paraId="197A0636" w14:textId="04D0C947" w:rsidR="00316B1B" w:rsidRDefault="2197D840" w:rsidP="00181FC3">
      <w:pPr>
        <w:pStyle w:val="ListParagraph"/>
        <w:numPr>
          <w:ilvl w:val="0"/>
          <w:numId w:val="7"/>
        </w:numPr>
        <w:rPr>
          <w:rFonts w:ascii="Calibri" w:eastAsia="Calibri" w:hAnsi="Calibri" w:cs="Calibri"/>
          <w:sz w:val="24"/>
          <w:szCs w:val="24"/>
        </w:rPr>
      </w:pPr>
      <w:r w:rsidRPr="3941B942">
        <w:rPr>
          <w:rFonts w:ascii="Calibri" w:eastAsia="Calibri" w:hAnsi="Calibri" w:cs="Calibri"/>
          <w:sz w:val="24"/>
          <w:szCs w:val="24"/>
        </w:rPr>
        <w:t>Organizing education events or activities for preK</w:t>
      </w:r>
      <w:r w:rsidR="4E988B8A" w:rsidRPr="3941B942">
        <w:rPr>
          <w:rFonts w:ascii="Calibri" w:eastAsia="Calibri" w:hAnsi="Calibri" w:cs="Calibri"/>
          <w:sz w:val="24"/>
          <w:szCs w:val="24"/>
        </w:rPr>
        <w:t>-</w:t>
      </w:r>
      <w:r w:rsidRPr="3941B942">
        <w:rPr>
          <w:rFonts w:ascii="Calibri" w:eastAsia="Calibri" w:hAnsi="Calibri" w:cs="Calibri"/>
          <w:sz w:val="24"/>
          <w:szCs w:val="24"/>
        </w:rPr>
        <w:t>12 students</w:t>
      </w:r>
    </w:p>
    <w:p w14:paraId="277D119F" w14:textId="4AD5F323" w:rsidR="00316B1B" w:rsidRDefault="2197D840" w:rsidP="00181FC3">
      <w:pPr>
        <w:pStyle w:val="ListParagraph"/>
        <w:numPr>
          <w:ilvl w:val="0"/>
          <w:numId w:val="7"/>
        </w:numPr>
        <w:rPr>
          <w:rFonts w:ascii="Calibri" w:eastAsia="Calibri" w:hAnsi="Calibri" w:cs="Calibri"/>
          <w:sz w:val="24"/>
          <w:szCs w:val="24"/>
        </w:rPr>
      </w:pPr>
      <w:r w:rsidRPr="46A020A9">
        <w:rPr>
          <w:rFonts w:ascii="Calibri" w:eastAsia="Calibri" w:hAnsi="Calibri" w:cs="Calibri"/>
          <w:sz w:val="24"/>
          <w:szCs w:val="24"/>
        </w:rPr>
        <w:t>Adjudicating preK-12 events like science fairs, Oregon Battle of the Book competitions, etc.</w:t>
      </w:r>
    </w:p>
    <w:p w14:paraId="5E26B5DB" w14:textId="1DB6304F" w:rsidR="00316B1B" w:rsidRDefault="2197D840" w:rsidP="00181FC3">
      <w:pPr>
        <w:pStyle w:val="ListParagraph"/>
        <w:numPr>
          <w:ilvl w:val="0"/>
          <w:numId w:val="7"/>
        </w:numPr>
        <w:rPr>
          <w:rFonts w:ascii="Calibri" w:eastAsia="Calibri" w:hAnsi="Calibri" w:cs="Calibri"/>
          <w:sz w:val="24"/>
          <w:szCs w:val="24"/>
        </w:rPr>
      </w:pPr>
      <w:r w:rsidRPr="46A020A9">
        <w:rPr>
          <w:rFonts w:ascii="Calibri" w:eastAsia="Calibri" w:hAnsi="Calibri" w:cs="Calibri"/>
          <w:sz w:val="24"/>
          <w:szCs w:val="24"/>
        </w:rPr>
        <w:t>Organizing professional meetings/conferences/festivals</w:t>
      </w:r>
    </w:p>
    <w:p w14:paraId="2193B7D5" w14:textId="7A8D3E7B" w:rsidR="00316B1B" w:rsidRDefault="2197D840" w:rsidP="00181FC3">
      <w:pPr>
        <w:pStyle w:val="ListParagraph"/>
        <w:numPr>
          <w:ilvl w:val="0"/>
          <w:numId w:val="7"/>
        </w:numPr>
        <w:rPr>
          <w:rFonts w:ascii="Calibri" w:eastAsia="Calibri" w:hAnsi="Calibri" w:cs="Calibri"/>
          <w:sz w:val="24"/>
          <w:szCs w:val="24"/>
        </w:rPr>
      </w:pPr>
      <w:r w:rsidRPr="666A0591">
        <w:rPr>
          <w:rFonts w:ascii="Calibri" w:eastAsia="Calibri" w:hAnsi="Calibri" w:cs="Calibri"/>
          <w:sz w:val="24"/>
          <w:szCs w:val="24"/>
        </w:rPr>
        <w:t>Service on boards (e.g.</w:t>
      </w:r>
      <w:r w:rsidR="7460AA5D" w:rsidRPr="666A0591">
        <w:rPr>
          <w:rFonts w:ascii="Calibri" w:eastAsia="Calibri" w:hAnsi="Calibri" w:cs="Calibri"/>
          <w:sz w:val="24"/>
          <w:szCs w:val="24"/>
        </w:rPr>
        <w:t>,</w:t>
      </w:r>
      <w:r w:rsidRPr="666A0591">
        <w:rPr>
          <w:rFonts w:ascii="Calibri" w:eastAsia="Calibri" w:hAnsi="Calibri" w:cs="Calibri"/>
          <w:sz w:val="24"/>
          <w:szCs w:val="24"/>
        </w:rPr>
        <w:t xml:space="preserve"> Teacher Standards and Practices Commission, </w:t>
      </w:r>
      <w:r w:rsidR="0D26FFE5" w:rsidRPr="666A0591">
        <w:rPr>
          <w:rFonts w:ascii="Calibri" w:eastAsia="Calibri" w:hAnsi="Calibri" w:cs="Calibri"/>
          <w:sz w:val="24"/>
          <w:szCs w:val="24"/>
        </w:rPr>
        <w:t xml:space="preserve">K-12 </w:t>
      </w:r>
      <w:r w:rsidR="7E0A0BF9" w:rsidRPr="666A0591">
        <w:rPr>
          <w:rFonts w:ascii="Calibri" w:eastAsia="Calibri" w:hAnsi="Calibri" w:cs="Calibri"/>
          <w:sz w:val="24"/>
          <w:szCs w:val="24"/>
        </w:rPr>
        <w:t>s</w:t>
      </w:r>
      <w:r w:rsidRPr="666A0591">
        <w:rPr>
          <w:rFonts w:ascii="Calibri" w:eastAsia="Calibri" w:hAnsi="Calibri" w:cs="Calibri"/>
          <w:sz w:val="24"/>
          <w:szCs w:val="24"/>
        </w:rPr>
        <w:t xml:space="preserve">chool </w:t>
      </w:r>
      <w:r w:rsidR="6C8A12CE" w:rsidRPr="666A0591">
        <w:rPr>
          <w:rFonts w:ascii="Calibri" w:eastAsia="Calibri" w:hAnsi="Calibri" w:cs="Calibri"/>
          <w:sz w:val="24"/>
          <w:szCs w:val="24"/>
        </w:rPr>
        <w:t>b</w:t>
      </w:r>
      <w:r w:rsidRPr="666A0591">
        <w:rPr>
          <w:rFonts w:ascii="Calibri" w:eastAsia="Calibri" w:hAnsi="Calibri" w:cs="Calibri"/>
          <w:sz w:val="24"/>
          <w:szCs w:val="24"/>
        </w:rPr>
        <w:t xml:space="preserve">oard) </w:t>
      </w:r>
    </w:p>
    <w:p w14:paraId="7EF55009" w14:textId="19548468" w:rsidR="00316B1B" w:rsidRDefault="2197D840" w:rsidP="00181FC3">
      <w:pPr>
        <w:pStyle w:val="ListParagraph"/>
        <w:numPr>
          <w:ilvl w:val="0"/>
          <w:numId w:val="7"/>
        </w:numPr>
        <w:rPr>
          <w:rFonts w:ascii="Calibri" w:eastAsia="Calibri" w:hAnsi="Calibri" w:cs="Calibri"/>
          <w:sz w:val="24"/>
          <w:szCs w:val="24"/>
        </w:rPr>
      </w:pPr>
      <w:r w:rsidRPr="46A020A9">
        <w:rPr>
          <w:rFonts w:ascii="Calibri" w:eastAsia="Calibri" w:hAnsi="Calibri" w:cs="Calibri"/>
          <w:sz w:val="24"/>
          <w:szCs w:val="24"/>
        </w:rPr>
        <w:t>Serving as an elected officer in professional societies or organizations</w:t>
      </w:r>
    </w:p>
    <w:p w14:paraId="6E2B37D4" w14:textId="363FBA37" w:rsidR="00316B1B" w:rsidRDefault="2197D840">
      <w:r w:rsidRPr="46A020A9">
        <w:rPr>
          <w:rFonts w:ascii="Calibri" w:eastAsia="Calibri" w:hAnsi="Calibri" w:cs="Calibri"/>
          <w:sz w:val="24"/>
          <w:szCs w:val="24"/>
        </w:rPr>
        <w:t xml:space="preserve"> </w:t>
      </w:r>
    </w:p>
    <w:p w14:paraId="2704C266" w14:textId="713EE09B" w:rsidR="00316B1B" w:rsidRDefault="2197D840" w:rsidP="2FC4D52D">
      <w:pPr>
        <w:rPr>
          <w:rFonts w:ascii="Calibri" w:eastAsia="Calibri" w:hAnsi="Calibri" w:cs="Calibri"/>
          <w:sz w:val="24"/>
          <w:szCs w:val="24"/>
        </w:rPr>
      </w:pPr>
      <w:r w:rsidRPr="666A0591">
        <w:rPr>
          <w:rFonts w:ascii="Calibri" w:eastAsia="Calibri" w:hAnsi="Calibri" w:cs="Calibri"/>
          <w:sz w:val="24"/>
          <w:szCs w:val="24"/>
        </w:rPr>
        <w:t xml:space="preserve">To clarify and contextualize examples of “service to the external community using professional knowledge and skills" (Faculty Handbook Section IV.6.1.3 #5), it is not uncommon for an Education faculty member to have significant overlap between Service to the Community and other aspects of their professional work. For example, the subject of a workshop </w:t>
      </w:r>
      <w:r w:rsidR="61FE4012" w:rsidRPr="666A0591">
        <w:rPr>
          <w:rFonts w:ascii="Calibri" w:eastAsia="Calibri" w:hAnsi="Calibri" w:cs="Calibri"/>
          <w:sz w:val="24"/>
          <w:szCs w:val="24"/>
        </w:rPr>
        <w:t>presented,</w:t>
      </w:r>
      <w:r w:rsidRPr="666A0591">
        <w:rPr>
          <w:rFonts w:ascii="Calibri" w:eastAsia="Calibri" w:hAnsi="Calibri" w:cs="Calibri"/>
          <w:sz w:val="24"/>
          <w:szCs w:val="24"/>
        </w:rPr>
        <w:t xml:space="preserve"> or a course taught for a community-facing group may be based on the faculty candidate’s scholarly work and professional agenda. For many </w:t>
      </w:r>
      <w:bookmarkStart w:id="33" w:name="_Int_TEXvPnIj"/>
      <w:r w:rsidRPr="666A0591">
        <w:rPr>
          <w:rFonts w:ascii="Calibri" w:eastAsia="Calibri" w:hAnsi="Calibri" w:cs="Calibri"/>
          <w:sz w:val="24"/>
          <w:szCs w:val="24"/>
        </w:rPr>
        <w:t>Education</w:t>
      </w:r>
      <w:bookmarkEnd w:id="33"/>
      <w:r w:rsidRPr="666A0591">
        <w:rPr>
          <w:rFonts w:ascii="Calibri" w:eastAsia="Calibri" w:hAnsi="Calibri" w:cs="Calibri"/>
          <w:sz w:val="24"/>
          <w:szCs w:val="24"/>
        </w:rPr>
        <w:t xml:space="preserve"> faculty, an important dissemination method for research is sharing with the local and regional community of educators and schools through workshops and presentations. It is incumbent upon the candidate to distinguish between Professional Achievements and Service where appropriate and clearly describe why a particular example is listed in the chosen area of their portfolio. </w:t>
      </w:r>
    </w:p>
    <w:p w14:paraId="74F231E4" w14:textId="666C060C" w:rsidR="00316B1B" w:rsidRDefault="2197D840" w:rsidP="2FC4D52D">
      <w:pPr>
        <w:rPr>
          <w:rFonts w:ascii="Calibri" w:eastAsia="Calibri" w:hAnsi="Calibri" w:cs="Calibri"/>
          <w:sz w:val="24"/>
          <w:szCs w:val="24"/>
        </w:rPr>
      </w:pPr>
      <w:r w:rsidRPr="3941B942">
        <w:rPr>
          <w:rFonts w:ascii="Calibri" w:eastAsia="Calibri" w:hAnsi="Calibri" w:cs="Calibri"/>
          <w:sz w:val="24"/>
          <w:szCs w:val="24"/>
        </w:rPr>
        <w:t xml:space="preserve">*In general, if work done in the community is done as a consultant for hire or as part of grant activity, it would normally </w:t>
      </w:r>
      <w:r w:rsidR="1186BA99" w:rsidRPr="3941B942">
        <w:rPr>
          <w:rFonts w:ascii="Calibri" w:eastAsia="Calibri" w:hAnsi="Calibri" w:cs="Calibri"/>
          <w:sz w:val="24"/>
          <w:szCs w:val="24"/>
        </w:rPr>
        <w:t>be considered professional achievement, not service</w:t>
      </w:r>
      <w:r w:rsidRPr="3941B942">
        <w:rPr>
          <w:rFonts w:ascii="Calibri" w:eastAsia="Calibri" w:hAnsi="Calibri" w:cs="Calibri"/>
          <w:sz w:val="24"/>
          <w:szCs w:val="24"/>
        </w:rPr>
        <w:t>.</w:t>
      </w:r>
    </w:p>
    <w:p w14:paraId="000D522E" w14:textId="689BF228" w:rsidR="3941B942" w:rsidRDefault="3941B942" w:rsidP="3941B942">
      <w:pPr>
        <w:pStyle w:val="Heading1"/>
      </w:pPr>
    </w:p>
    <w:p w14:paraId="662DAFF9" w14:textId="135C00C5" w:rsidR="00316B1B" w:rsidRDefault="6C162787" w:rsidP="4B51E288">
      <w:pPr>
        <w:pStyle w:val="Heading1"/>
        <w:rPr>
          <w:rFonts w:ascii="Arial" w:eastAsia="Arial" w:hAnsi="Arial" w:cs="Arial"/>
          <w:b/>
          <w:bCs/>
          <w:color w:val="000000" w:themeColor="text1"/>
          <w:sz w:val="28"/>
          <w:szCs w:val="28"/>
        </w:rPr>
      </w:pPr>
      <w:bookmarkStart w:id="34" w:name="_Toc963615020"/>
      <w:bookmarkStart w:id="35" w:name="_Toc1235242453"/>
      <w:bookmarkStart w:id="36" w:name="_Toc432954463"/>
      <w:bookmarkStart w:id="37" w:name="_Toc2042409238"/>
      <w:bookmarkStart w:id="38" w:name="_Toc534134323"/>
      <w:r>
        <w:t>PART 6: Appendix with Links</w:t>
      </w:r>
      <w:bookmarkEnd w:id="34"/>
      <w:bookmarkEnd w:id="35"/>
      <w:bookmarkEnd w:id="36"/>
      <w:bookmarkEnd w:id="37"/>
      <w:bookmarkEnd w:id="38"/>
    </w:p>
    <w:p w14:paraId="3CE553A5" w14:textId="175BABBA" w:rsidR="2AF949AA" w:rsidRDefault="2AF949AA" w:rsidP="2AF949AA">
      <w:pPr>
        <w:rPr>
          <w:rFonts w:eastAsiaTheme="minorEastAsia"/>
          <w:sz w:val="24"/>
          <w:szCs w:val="24"/>
        </w:rPr>
      </w:pPr>
    </w:p>
    <w:p w14:paraId="51CE0757" w14:textId="591C40F3" w:rsidR="00316B1B" w:rsidRDefault="00181FC3" w:rsidP="00181FC3">
      <w:pPr>
        <w:pStyle w:val="ListParagraph"/>
        <w:numPr>
          <w:ilvl w:val="0"/>
          <w:numId w:val="6"/>
        </w:numPr>
        <w:rPr>
          <w:rFonts w:eastAsiaTheme="minorEastAsia"/>
          <w:sz w:val="24"/>
          <w:szCs w:val="24"/>
        </w:rPr>
      </w:pPr>
      <w:hyperlink r:id="rId23">
        <w:r w:rsidR="5D50E425" w:rsidRPr="2AF949AA">
          <w:rPr>
            <w:rStyle w:val="Hyperlink"/>
            <w:rFonts w:eastAsiaTheme="minorEastAsia"/>
            <w:sz w:val="24"/>
            <w:szCs w:val="24"/>
          </w:rPr>
          <w:t>CAS P&amp;T departmental guidelines</w:t>
        </w:r>
      </w:hyperlink>
    </w:p>
    <w:p w14:paraId="2C078E63" w14:textId="185D954E" w:rsidR="00316B1B" w:rsidRDefault="00181FC3" w:rsidP="00181FC3">
      <w:pPr>
        <w:pStyle w:val="ListParagraph"/>
        <w:numPr>
          <w:ilvl w:val="0"/>
          <w:numId w:val="6"/>
        </w:numPr>
        <w:rPr>
          <w:rFonts w:eastAsiaTheme="minorEastAsia"/>
          <w:sz w:val="24"/>
          <w:szCs w:val="24"/>
        </w:rPr>
      </w:pPr>
      <w:hyperlink r:id="rId24">
        <w:r w:rsidR="25B02675" w:rsidRPr="3941B942">
          <w:rPr>
            <w:rStyle w:val="Hyperlink"/>
            <w:rFonts w:eastAsiaTheme="minorEastAsia"/>
            <w:sz w:val="24"/>
            <w:szCs w:val="24"/>
          </w:rPr>
          <w:t xml:space="preserve">Linfield University </w:t>
        </w:r>
        <w:r w:rsidR="5D50E425" w:rsidRPr="3941B942">
          <w:rPr>
            <w:rStyle w:val="Hyperlink"/>
            <w:rFonts w:eastAsiaTheme="minorEastAsia"/>
            <w:sz w:val="24"/>
            <w:szCs w:val="24"/>
          </w:rPr>
          <w:t>Faculty Handbook</w:t>
        </w:r>
      </w:hyperlink>
    </w:p>
    <w:sectPr w:rsidR="00316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ova">
    <w:panose1 w:val="020B0504020202020204"/>
    <w:charset w:val="00"/>
    <w:family w:val="swiss"/>
    <w:pitch w:val="variable"/>
    <w:sig w:usb0="2000028F" w:usb1="00000002"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Y60SRrtj" int2:invalidationBookmarkName="" int2:hashCode="/HGEJ+XKsM7ykx" int2:id="6ZdtltfP">
      <int2:state int2:value="Rejected" int2:type="AugLoop_Acronyms_AcronymsCritique"/>
    </int2:bookmark>
    <int2:bookmark int2:bookmarkName="_Int_O3QLCHro" int2:invalidationBookmarkName="" int2:hashCode="qjCTVURy/RExNb" int2:id="Ej66CssX">
      <int2:state int2:value="Rejected" int2:type="AugLoop_Acronyms_AcronymsCritique"/>
    </int2:bookmark>
    <int2:bookmark int2:bookmarkName="_Int_oAkXCwy5" int2:invalidationBookmarkName="" int2:hashCode="X55YArurxx+Sdf" int2:id="9S12Szmr">
      <int2:state int2:value="Rejected" int2:type="AugLoop_Text_Critique"/>
    </int2:bookmark>
    <int2:bookmark int2:bookmarkName="_Int_d84BwJgT" int2:invalidationBookmarkName="" int2:hashCode="qvh/5Xrm0yPbVJ" int2:id="ZYuUxRpO">
      <int2:state int2:value="Rejected" int2:type="AugLoop_Text_Critique"/>
    </int2:bookmark>
    <int2:bookmark int2:bookmarkName="_Int_FiFV2FHN" int2:invalidationBookmarkName="" int2:hashCode="qvh/5Xrm0yPbVJ" int2:id="Kaddi5mY">
      <int2:state int2:value="Rejected" int2:type="AugLoop_Text_Critique"/>
    </int2:bookmark>
    <int2:bookmark int2:bookmarkName="_Int_TxgsjWch" int2:invalidationBookmarkName="" int2:hashCode="xriHRyWawVsTpm" int2:id="k46MZtKv">
      <int2:state int2:value="Rejected" int2:type="AugLoop_Text_Critique"/>
    </int2:bookmark>
    <int2:bookmark int2:bookmarkName="_Int_zYhCJnSa" int2:invalidationBookmarkName="" int2:hashCode="ZRf4nEbD8NbbnL" int2:id="KxV7O86a">
      <int2:state int2:value="Rejected" int2:type="AugLoop_Text_Critique"/>
    </int2:bookmark>
    <int2:bookmark int2:bookmarkName="_Int_TEXvPnIj" int2:invalidationBookmarkName="" int2:hashCode="qvh/5Xrm0yPbVJ" int2:id="V9gAOjq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AA39"/>
    <w:multiLevelType w:val="hybridMultilevel"/>
    <w:tmpl w:val="FFFFFFFF"/>
    <w:lvl w:ilvl="0" w:tplc="70887A58">
      <w:start w:val="1"/>
      <w:numFmt w:val="bullet"/>
      <w:lvlText w:val=""/>
      <w:lvlJc w:val="left"/>
      <w:pPr>
        <w:ind w:left="720" w:hanging="360"/>
      </w:pPr>
      <w:rPr>
        <w:rFonts w:ascii="Wingdings" w:hAnsi="Wingdings" w:hint="default"/>
      </w:rPr>
    </w:lvl>
    <w:lvl w:ilvl="1" w:tplc="F4285BC8">
      <w:start w:val="1"/>
      <w:numFmt w:val="bullet"/>
      <w:lvlText w:val="o"/>
      <w:lvlJc w:val="left"/>
      <w:pPr>
        <w:ind w:left="1440" w:hanging="360"/>
      </w:pPr>
      <w:rPr>
        <w:rFonts w:ascii="Courier New" w:hAnsi="Courier New" w:hint="default"/>
      </w:rPr>
    </w:lvl>
    <w:lvl w:ilvl="2" w:tplc="968E7510">
      <w:start w:val="1"/>
      <w:numFmt w:val="bullet"/>
      <w:lvlText w:val=""/>
      <w:lvlJc w:val="left"/>
      <w:pPr>
        <w:ind w:left="2160" w:hanging="360"/>
      </w:pPr>
      <w:rPr>
        <w:rFonts w:ascii="Wingdings" w:hAnsi="Wingdings" w:hint="default"/>
      </w:rPr>
    </w:lvl>
    <w:lvl w:ilvl="3" w:tplc="674C64B4">
      <w:start w:val="1"/>
      <w:numFmt w:val="bullet"/>
      <w:lvlText w:val=""/>
      <w:lvlJc w:val="left"/>
      <w:pPr>
        <w:ind w:left="2880" w:hanging="360"/>
      </w:pPr>
      <w:rPr>
        <w:rFonts w:ascii="Symbol" w:hAnsi="Symbol" w:hint="default"/>
      </w:rPr>
    </w:lvl>
    <w:lvl w:ilvl="4" w:tplc="BD2E1AF0">
      <w:start w:val="1"/>
      <w:numFmt w:val="bullet"/>
      <w:lvlText w:val="o"/>
      <w:lvlJc w:val="left"/>
      <w:pPr>
        <w:ind w:left="3600" w:hanging="360"/>
      </w:pPr>
      <w:rPr>
        <w:rFonts w:ascii="Courier New" w:hAnsi="Courier New" w:hint="default"/>
      </w:rPr>
    </w:lvl>
    <w:lvl w:ilvl="5" w:tplc="AB1001BC">
      <w:start w:val="1"/>
      <w:numFmt w:val="bullet"/>
      <w:lvlText w:val=""/>
      <w:lvlJc w:val="left"/>
      <w:pPr>
        <w:ind w:left="4320" w:hanging="360"/>
      </w:pPr>
      <w:rPr>
        <w:rFonts w:ascii="Wingdings" w:hAnsi="Wingdings" w:hint="default"/>
      </w:rPr>
    </w:lvl>
    <w:lvl w:ilvl="6" w:tplc="07E075C2">
      <w:start w:val="1"/>
      <w:numFmt w:val="bullet"/>
      <w:lvlText w:val=""/>
      <w:lvlJc w:val="left"/>
      <w:pPr>
        <w:ind w:left="5040" w:hanging="360"/>
      </w:pPr>
      <w:rPr>
        <w:rFonts w:ascii="Symbol" w:hAnsi="Symbol" w:hint="default"/>
      </w:rPr>
    </w:lvl>
    <w:lvl w:ilvl="7" w:tplc="F0BE568E">
      <w:start w:val="1"/>
      <w:numFmt w:val="bullet"/>
      <w:lvlText w:val="o"/>
      <w:lvlJc w:val="left"/>
      <w:pPr>
        <w:ind w:left="5760" w:hanging="360"/>
      </w:pPr>
      <w:rPr>
        <w:rFonts w:ascii="Courier New" w:hAnsi="Courier New" w:hint="default"/>
      </w:rPr>
    </w:lvl>
    <w:lvl w:ilvl="8" w:tplc="137E3648">
      <w:start w:val="1"/>
      <w:numFmt w:val="bullet"/>
      <w:lvlText w:val=""/>
      <w:lvlJc w:val="left"/>
      <w:pPr>
        <w:ind w:left="6480" w:hanging="360"/>
      </w:pPr>
      <w:rPr>
        <w:rFonts w:ascii="Wingdings" w:hAnsi="Wingdings" w:hint="default"/>
      </w:rPr>
    </w:lvl>
  </w:abstractNum>
  <w:abstractNum w:abstractNumId="1" w15:restartNumberingAfterBreak="0">
    <w:nsid w:val="1E4B44B7"/>
    <w:multiLevelType w:val="hybridMultilevel"/>
    <w:tmpl w:val="FFFFFFFF"/>
    <w:lvl w:ilvl="0" w:tplc="1F7C5A54">
      <w:start w:val="1"/>
      <w:numFmt w:val="decimal"/>
      <w:lvlText w:val="%1."/>
      <w:lvlJc w:val="left"/>
      <w:pPr>
        <w:ind w:left="720" w:hanging="360"/>
      </w:pPr>
    </w:lvl>
    <w:lvl w:ilvl="1" w:tplc="D33E768C">
      <w:start w:val="1"/>
      <w:numFmt w:val="lowerLetter"/>
      <w:lvlText w:val="%2."/>
      <w:lvlJc w:val="left"/>
      <w:pPr>
        <w:ind w:left="1440" w:hanging="360"/>
      </w:pPr>
    </w:lvl>
    <w:lvl w:ilvl="2" w:tplc="5A3AF28A">
      <w:start w:val="1"/>
      <w:numFmt w:val="lowerRoman"/>
      <w:lvlText w:val="%3."/>
      <w:lvlJc w:val="right"/>
      <w:pPr>
        <w:ind w:left="2160" w:hanging="180"/>
      </w:pPr>
    </w:lvl>
    <w:lvl w:ilvl="3" w:tplc="2D4064DE">
      <w:start w:val="1"/>
      <w:numFmt w:val="decimal"/>
      <w:lvlText w:val="%4."/>
      <w:lvlJc w:val="left"/>
      <w:pPr>
        <w:ind w:left="2880" w:hanging="360"/>
      </w:pPr>
    </w:lvl>
    <w:lvl w:ilvl="4" w:tplc="30B85EE0">
      <w:start w:val="1"/>
      <w:numFmt w:val="lowerLetter"/>
      <w:lvlText w:val="%5."/>
      <w:lvlJc w:val="left"/>
      <w:pPr>
        <w:ind w:left="3600" w:hanging="360"/>
      </w:pPr>
    </w:lvl>
    <w:lvl w:ilvl="5" w:tplc="32C639CE">
      <w:start w:val="1"/>
      <w:numFmt w:val="lowerRoman"/>
      <w:lvlText w:val="%6."/>
      <w:lvlJc w:val="right"/>
      <w:pPr>
        <w:ind w:left="4320" w:hanging="180"/>
      </w:pPr>
    </w:lvl>
    <w:lvl w:ilvl="6" w:tplc="0D6C43C8">
      <w:start w:val="1"/>
      <w:numFmt w:val="decimal"/>
      <w:lvlText w:val="%7."/>
      <w:lvlJc w:val="left"/>
      <w:pPr>
        <w:ind w:left="5040" w:hanging="360"/>
      </w:pPr>
    </w:lvl>
    <w:lvl w:ilvl="7" w:tplc="E57C7048">
      <w:start w:val="1"/>
      <w:numFmt w:val="lowerLetter"/>
      <w:lvlText w:val="%8."/>
      <w:lvlJc w:val="left"/>
      <w:pPr>
        <w:ind w:left="5760" w:hanging="360"/>
      </w:pPr>
    </w:lvl>
    <w:lvl w:ilvl="8" w:tplc="EA267AEE">
      <w:start w:val="1"/>
      <w:numFmt w:val="lowerRoman"/>
      <w:lvlText w:val="%9."/>
      <w:lvlJc w:val="right"/>
      <w:pPr>
        <w:ind w:left="6480" w:hanging="180"/>
      </w:pPr>
    </w:lvl>
  </w:abstractNum>
  <w:abstractNum w:abstractNumId="2" w15:restartNumberingAfterBreak="0">
    <w:nsid w:val="1F5F4704"/>
    <w:multiLevelType w:val="hybridMultilevel"/>
    <w:tmpl w:val="FFFFFFFF"/>
    <w:lvl w:ilvl="0" w:tplc="D42072B4">
      <w:start w:val="1"/>
      <w:numFmt w:val="bullet"/>
      <w:lvlText w:val="·"/>
      <w:lvlJc w:val="left"/>
      <w:pPr>
        <w:ind w:left="720" w:hanging="360"/>
      </w:pPr>
      <w:rPr>
        <w:rFonts w:ascii="Symbol" w:hAnsi="Symbol" w:hint="default"/>
      </w:rPr>
    </w:lvl>
    <w:lvl w:ilvl="1" w:tplc="F022CB8E">
      <w:start w:val="1"/>
      <w:numFmt w:val="bullet"/>
      <w:lvlText w:val="o"/>
      <w:lvlJc w:val="left"/>
      <w:pPr>
        <w:ind w:left="1440" w:hanging="360"/>
      </w:pPr>
      <w:rPr>
        <w:rFonts w:ascii="Courier New" w:hAnsi="Courier New" w:hint="default"/>
      </w:rPr>
    </w:lvl>
    <w:lvl w:ilvl="2" w:tplc="AD1806B2">
      <w:start w:val="1"/>
      <w:numFmt w:val="bullet"/>
      <w:lvlText w:val=""/>
      <w:lvlJc w:val="left"/>
      <w:pPr>
        <w:ind w:left="2160" w:hanging="360"/>
      </w:pPr>
      <w:rPr>
        <w:rFonts w:ascii="Wingdings" w:hAnsi="Wingdings" w:hint="default"/>
      </w:rPr>
    </w:lvl>
    <w:lvl w:ilvl="3" w:tplc="2C3A13BA">
      <w:start w:val="1"/>
      <w:numFmt w:val="bullet"/>
      <w:lvlText w:val=""/>
      <w:lvlJc w:val="left"/>
      <w:pPr>
        <w:ind w:left="2880" w:hanging="360"/>
      </w:pPr>
      <w:rPr>
        <w:rFonts w:ascii="Symbol" w:hAnsi="Symbol" w:hint="default"/>
      </w:rPr>
    </w:lvl>
    <w:lvl w:ilvl="4" w:tplc="417CAB92">
      <w:start w:val="1"/>
      <w:numFmt w:val="bullet"/>
      <w:lvlText w:val="o"/>
      <w:lvlJc w:val="left"/>
      <w:pPr>
        <w:ind w:left="3600" w:hanging="360"/>
      </w:pPr>
      <w:rPr>
        <w:rFonts w:ascii="Courier New" w:hAnsi="Courier New" w:hint="default"/>
      </w:rPr>
    </w:lvl>
    <w:lvl w:ilvl="5" w:tplc="AB76648E">
      <w:start w:val="1"/>
      <w:numFmt w:val="bullet"/>
      <w:lvlText w:val=""/>
      <w:lvlJc w:val="left"/>
      <w:pPr>
        <w:ind w:left="4320" w:hanging="360"/>
      </w:pPr>
      <w:rPr>
        <w:rFonts w:ascii="Wingdings" w:hAnsi="Wingdings" w:hint="default"/>
      </w:rPr>
    </w:lvl>
    <w:lvl w:ilvl="6" w:tplc="182499F8">
      <w:start w:val="1"/>
      <w:numFmt w:val="bullet"/>
      <w:lvlText w:val=""/>
      <w:lvlJc w:val="left"/>
      <w:pPr>
        <w:ind w:left="5040" w:hanging="360"/>
      </w:pPr>
      <w:rPr>
        <w:rFonts w:ascii="Symbol" w:hAnsi="Symbol" w:hint="default"/>
      </w:rPr>
    </w:lvl>
    <w:lvl w:ilvl="7" w:tplc="67DA927E">
      <w:start w:val="1"/>
      <w:numFmt w:val="bullet"/>
      <w:lvlText w:val="o"/>
      <w:lvlJc w:val="left"/>
      <w:pPr>
        <w:ind w:left="5760" w:hanging="360"/>
      </w:pPr>
      <w:rPr>
        <w:rFonts w:ascii="Courier New" w:hAnsi="Courier New" w:hint="default"/>
      </w:rPr>
    </w:lvl>
    <w:lvl w:ilvl="8" w:tplc="4E1A9226">
      <w:start w:val="1"/>
      <w:numFmt w:val="bullet"/>
      <w:lvlText w:val=""/>
      <w:lvlJc w:val="left"/>
      <w:pPr>
        <w:ind w:left="6480" w:hanging="360"/>
      </w:pPr>
      <w:rPr>
        <w:rFonts w:ascii="Wingdings" w:hAnsi="Wingdings" w:hint="default"/>
      </w:rPr>
    </w:lvl>
  </w:abstractNum>
  <w:abstractNum w:abstractNumId="3" w15:restartNumberingAfterBreak="0">
    <w:nsid w:val="24654146"/>
    <w:multiLevelType w:val="hybridMultilevel"/>
    <w:tmpl w:val="FFFFFFFF"/>
    <w:lvl w:ilvl="0" w:tplc="986AA8E0">
      <w:start w:val="1"/>
      <w:numFmt w:val="bullet"/>
      <w:lvlText w:val=""/>
      <w:lvlJc w:val="left"/>
      <w:pPr>
        <w:ind w:left="720" w:hanging="360"/>
      </w:pPr>
      <w:rPr>
        <w:rFonts w:ascii="Symbol" w:hAnsi="Symbol" w:hint="default"/>
      </w:rPr>
    </w:lvl>
    <w:lvl w:ilvl="1" w:tplc="2CF04CFC">
      <w:start w:val="1"/>
      <w:numFmt w:val="bullet"/>
      <w:lvlText w:val="o"/>
      <w:lvlJc w:val="left"/>
      <w:pPr>
        <w:ind w:left="1440" w:hanging="360"/>
      </w:pPr>
      <w:rPr>
        <w:rFonts w:ascii="Courier New" w:hAnsi="Courier New" w:hint="default"/>
      </w:rPr>
    </w:lvl>
    <w:lvl w:ilvl="2" w:tplc="C3E4AAFE">
      <w:start w:val="1"/>
      <w:numFmt w:val="bullet"/>
      <w:lvlText w:val=""/>
      <w:lvlJc w:val="left"/>
      <w:pPr>
        <w:ind w:left="2160" w:hanging="360"/>
      </w:pPr>
      <w:rPr>
        <w:rFonts w:ascii="Wingdings" w:hAnsi="Wingdings" w:hint="default"/>
      </w:rPr>
    </w:lvl>
    <w:lvl w:ilvl="3" w:tplc="7A26A10A">
      <w:start w:val="1"/>
      <w:numFmt w:val="bullet"/>
      <w:lvlText w:val=""/>
      <w:lvlJc w:val="left"/>
      <w:pPr>
        <w:ind w:left="2880" w:hanging="360"/>
      </w:pPr>
      <w:rPr>
        <w:rFonts w:ascii="Symbol" w:hAnsi="Symbol" w:hint="default"/>
      </w:rPr>
    </w:lvl>
    <w:lvl w:ilvl="4" w:tplc="7F4CE516">
      <w:start w:val="1"/>
      <w:numFmt w:val="bullet"/>
      <w:lvlText w:val="o"/>
      <w:lvlJc w:val="left"/>
      <w:pPr>
        <w:ind w:left="3600" w:hanging="360"/>
      </w:pPr>
      <w:rPr>
        <w:rFonts w:ascii="Courier New" w:hAnsi="Courier New" w:hint="default"/>
      </w:rPr>
    </w:lvl>
    <w:lvl w:ilvl="5" w:tplc="059A1FE2">
      <w:start w:val="1"/>
      <w:numFmt w:val="bullet"/>
      <w:lvlText w:val=""/>
      <w:lvlJc w:val="left"/>
      <w:pPr>
        <w:ind w:left="4320" w:hanging="360"/>
      </w:pPr>
      <w:rPr>
        <w:rFonts w:ascii="Wingdings" w:hAnsi="Wingdings" w:hint="default"/>
      </w:rPr>
    </w:lvl>
    <w:lvl w:ilvl="6" w:tplc="62223350">
      <w:start w:val="1"/>
      <w:numFmt w:val="bullet"/>
      <w:lvlText w:val=""/>
      <w:lvlJc w:val="left"/>
      <w:pPr>
        <w:ind w:left="5040" w:hanging="360"/>
      </w:pPr>
      <w:rPr>
        <w:rFonts w:ascii="Symbol" w:hAnsi="Symbol" w:hint="default"/>
      </w:rPr>
    </w:lvl>
    <w:lvl w:ilvl="7" w:tplc="050E5EC8">
      <w:start w:val="1"/>
      <w:numFmt w:val="bullet"/>
      <w:lvlText w:val="o"/>
      <w:lvlJc w:val="left"/>
      <w:pPr>
        <w:ind w:left="5760" w:hanging="360"/>
      </w:pPr>
      <w:rPr>
        <w:rFonts w:ascii="Courier New" w:hAnsi="Courier New" w:hint="default"/>
      </w:rPr>
    </w:lvl>
    <w:lvl w:ilvl="8" w:tplc="B988099A">
      <w:start w:val="1"/>
      <w:numFmt w:val="bullet"/>
      <w:lvlText w:val=""/>
      <w:lvlJc w:val="left"/>
      <w:pPr>
        <w:ind w:left="6480" w:hanging="360"/>
      </w:pPr>
      <w:rPr>
        <w:rFonts w:ascii="Wingdings" w:hAnsi="Wingdings" w:hint="default"/>
      </w:rPr>
    </w:lvl>
  </w:abstractNum>
  <w:abstractNum w:abstractNumId="4" w15:restartNumberingAfterBreak="0">
    <w:nsid w:val="3509EFC8"/>
    <w:multiLevelType w:val="hybridMultilevel"/>
    <w:tmpl w:val="FFFFFFFF"/>
    <w:lvl w:ilvl="0" w:tplc="D7FEC4F2">
      <w:start w:val="1"/>
      <w:numFmt w:val="bullet"/>
      <w:lvlText w:val="·"/>
      <w:lvlJc w:val="left"/>
      <w:pPr>
        <w:ind w:left="720" w:hanging="360"/>
      </w:pPr>
      <w:rPr>
        <w:rFonts w:ascii="Symbol" w:hAnsi="Symbol" w:hint="default"/>
      </w:rPr>
    </w:lvl>
    <w:lvl w:ilvl="1" w:tplc="004CD91E">
      <w:start w:val="1"/>
      <w:numFmt w:val="bullet"/>
      <w:lvlText w:val="o"/>
      <w:lvlJc w:val="left"/>
      <w:pPr>
        <w:ind w:left="1440" w:hanging="360"/>
      </w:pPr>
      <w:rPr>
        <w:rFonts w:ascii="Courier New" w:hAnsi="Courier New" w:hint="default"/>
      </w:rPr>
    </w:lvl>
    <w:lvl w:ilvl="2" w:tplc="D700B6F4">
      <w:start w:val="1"/>
      <w:numFmt w:val="bullet"/>
      <w:lvlText w:val=""/>
      <w:lvlJc w:val="left"/>
      <w:pPr>
        <w:ind w:left="2160" w:hanging="360"/>
      </w:pPr>
      <w:rPr>
        <w:rFonts w:ascii="Wingdings" w:hAnsi="Wingdings" w:hint="default"/>
      </w:rPr>
    </w:lvl>
    <w:lvl w:ilvl="3" w:tplc="1BD8A2AC">
      <w:start w:val="1"/>
      <w:numFmt w:val="bullet"/>
      <w:lvlText w:val=""/>
      <w:lvlJc w:val="left"/>
      <w:pPr>
        <w:ind w:left="2880" w:hanging="360"/>
      </w:pPr>
      <w:rPr>
        <w:rFonts w:ascii="Symbol" w:hAnsi="Symbol" w:hint="default"/>
      </w:rPr>
    </w:lvl>
    <w:lvl w:ilvl="4" w:tplc="498845C6">
      <w:start w:val="1"/>
      <w:numFmt w:val="bullet"/>
      <w:lvlText w:val="o"/>
      <w:lvlJc w:val="left"/>
      <w:pPr>
        <w:ind w:left="3600" w:hanging="360"/>
      </w:pPr>
      <w:rPr>
        <w:rFonts w:ascii="Courier New" w:hAnsi="Courier New" w:hint="default"/>
      </w:rPr>
    </w:lvl>
    <w:lvl w:ilvl="5" w:tplc="223E24EC">
      <w:start w:val="1"/>
      <w:numFmt w:val="bullet"/>
      <w:lvlText w:val=""/>
      <w:lvlJc w:val="left"/>
      <w:pPr>
        <w:ind w:left="4320" w:hanging="360"/>
      </w:pPr>
      <w:rPr>
        <w:rFonts w:ascii="Wingdings" w:hAnsi="Wingdings" w:hint="default"/>
      </w:rPr>
    </w:lvl>
    <w:lvl w:ilvl="6" w:tplc="F4AE63BC">
      <w:start w:val="1"/>
      <w:numFmt w:val="bullet"/>
      <w:lvlText w:val=""/>
      <w:lvlJc w:val="left"/>
      <w:pPr>
        <w:ind w:left="5040" w:hanging="360"/>
      </w:pPr>
      <w:rPr>
        <w:rFonts w:ascii="Symbol" w:hAnsi="Symbol" w:hint="default"/>
      </w:rPr>
    </w:lvl>
    <w:lvl w:ilvl="7" w:tplc="AAA27A54">
      <w:start w:val="1"/>
      <w:numFmt w:val="bullet"/>
      <w:lvlText w:val="o"/>
      <w:lvlJc w:val="left"/>
      <w:pPr>
        <w:ind w:left="5760" w:hanging="360"/>
      </w:pPr>
      <w:rPr>
        <w:rFonts w:ascii="Courier New" w:hAnsi="Courier New" w:hint="default"/>
      </w:rPr>
    </w:lvl>
    <w:lvl w:ilvl="8" w:tplc="61F682FC">
      <w:start w:val="1"/>
      <w:numFmt w:val="bullet"/>
      <w:lvlText w:val=""/>
      <w:lvlJc w:val="left"/>
      <w:pPr>
        <w:ind w:left="6480" w:hanging="360"/>
      </w:pPr>
      <w:rPr>
        <w:rFonts w:ascii="Wingdings" w:hAnsi="Wingdings" w:hint="default"/>
      </w:rPr>
    </w:lvl>
  </w:abstractNum>
  <w:abstractNum w:abstractNumId="5" w15:restartNumberingAfterBreak="0">
    <w:nsid w:val="379D53BC"/>
    <w:multiLevelType w:val="hybridMultilevel"/>
    <w:tmpl w:val="FFFFFFFF"/>
    <w:lvl w:ilvl="0" w:tplc="88D83108">
      <w:start w:val="1"/>
      <w:numFmt w:val="bullet"/>
      <w:lvlText w:val=""/>
      <w:lvlJc w:val="left"/>
      <w:pPr>
        <w:ind w:left="720" w:hanging="360"/>
      </w:pPr>
      <w:rPr>
        <w:rFonts w:ascii="Symbol" w:hAnsi="Symbol" w:hint="default"/>
      </w:rPr>
    </w:lvl>
    <w:lvl w:ilvl="1" w:tplc="827AE53A">
      <w:start w:val="1"/>
      <w:numFmt w:val="bullet"/>
      <w:lvlText w:val="o"/>
      <w:lvlJc w:val="left"/>
      <w:pPr>
        <w:ind w:left="1440" w:hanging="360"/>
      </w:pPr>
      <w:rPr>
        <w:rFonts w:ascii="Courier New" w:hAnsi="Courier New" w:hint="default"/>
      </w:rPr>
    </w:lvl>
    <w:lvl w:ilvl="2" w:tplc="601C8E30">
      <w:start w:val="1"/>
      <w:numFmt w:val="bullet"/>
      <w:lvlText w:val=""/>
      <w:lvlJc w:val="left"/>
      <w:pPr>
        <w:ind w:left="2160" w:hanging="360"/>
      </w:pPr>
      <w:rPr>
        <w:rFonts w:ascii="Wingdings" w:hAnsi="Wingdings" w:hint="default"/>
      </w:rPr>
    </w:lvl>
    <w:lvl w:ilvl="3" w:tplc="59A8E6D0">
      <w:start w:val="1"/>
      <w:numFmt w:val="bullet"/>
      <w:lvlText w:val=""/>
      <w:lvlJc w:val="left"/>
      <w:pPr>
        <w:ind w:left="2880" w:hanging="360"/>
      </w:pPr>
      <w:rPr>
        <w:rFonts w:ascii="Symbol" w:hAnsi="Symbol" w:hint="default"/>
      </w:rPr>
    </w:lvl>
    <w:lvl w:ilvl="4" w:tplc="3A9CEA5A">
      <w:start w:val="1"/>
      <w:numFmt w:val="bullet"/>
      <w:lvlText w:val="o"/>
      <w:lvlJc w:val="left"/>
      <w:pPr>
        <w:ind w:left="3600" w:hanging="360"/>
      </w:pPr>
      <w:rPr>
        <w:rFonts w:ascii="Courier New" w:hAnsi="Courier New" w:hint="default"/>
      </w:rPr>
    </w:lvl>
    <w:lvl w:ilvl="5" w:tplc="048CBD0E">
      <w:start w:val="1"/>
      <w:numFmt w:val="bullet"/>
      <w:lvlText w:val=""/>
      <w:lvlJc w:val="left"/>
      <w:pPr>
        <w:ind w:left="4320" w:hanging="360"/>
      </w:pPr>
      <w:rPr>
        <w:rFonts w:ascii="Wingdings" w:hAnsi="Wingdings" w:hint="default"/>
      </w:rPr>
    </w:lvl>
    <w:lvl w:ilvl="6" w:tplc="5706DE64">
      <w:start w:val="1"/>
      <w:numFmt w:val="bullet"/>
      <w:lvlText w:val=""/>
      <w:lvlJc w:val="left"/>
      <w:pPr>
        <w:ind w:left="5040" w:hanging="360"/>
      </w:pPr>
      <w:rPr>
        <w:rFonts w:ascii="Symbol" w:hAnsi="Symbol" w:hint="default"/>
      </w:rPr>
    </w:lvl>
    <w:lvl w:ilvl="7" w:tplc="5276F4C8">
      <w:start w:val="1"/>
      <w:numFmt w:val="bullet"/>
      <w:lvlText w:val="o"/>
      <w:lvlJc w:val="left"/>
      <w:pPr>
        <w:ind w:left="5760" w:hanging="360"/>
      </w:pPr>
      <w:rPr>
        <w:rFonts w:ascii="Courier New" w:hAnsi="Courier New" w:hint="default"/>
      </w:rPr>
    </w:lvl>
    <w:lvl w:ilvl="8" w:tplc="4582EB8A">
      <w:start w:val="1"/>
      <w:numFmt w:val="bullet"/>
      <w:lvlText w:val=""/>
      <w:lvlJc w:val="left"/>
      <w:pPr>
        <w:ind w:left="6480" w:hanging="360"/>
      </w:pPr>
      <w:rPr>
        <w:rFonts w:ascii="Wingdings" w:hAnsi="Wingdings" w:hint="default"/>
      </w:rPr>
    </w:lvl>
  </w:abstractNum>
  <w:abstractNum w:abstractNumId="6" w15:restartNumberingAfterBreak="0">
    <w:nsid w:val="39CEE71D"/>
    <w:multiLevelType w:val="hybridMultilevel"/>
    <w:tmpl w:val="FFFFFFFF"/>
    <w:lvl w:ilvl="0" w:tplc="8F94BC60">
      <w:start w:val="1"/>
      <w:numFmt w:val="bullet"/>
      <w:lvlText w:val="·"/>
      <w:lvlJc w:val="left"/>
      <w:pPr>
        <w:ind w:left="720" w:hanging="360"/>
      </w:pPr>
      <w:rPr>
        <w:rFonts w:ascii="Symbol" w:hAnsi="Symbol" w:hint="default"/>
      </w:rPr>
    </w:lvl>
    <w:lvl w:ilvl="1" w:tplc="31223B7C">
      <w:start w:val="1"/>
      <w:numFmt w:val="bullet"/>
      <w:lvlText w:val="o"/>
      <w:lvlJc w:val="left"/>
      <w:pPr>
        <w:ind w:left="1440" w:hanging="360"/>
      </w:pPr>
      <w:rPr>
        <w:rFonts w:ascii="Courier New" w:hAnsi="Courier New" w:hint="default"/>
      </w:rPr>
    </w:lvl>
    <w:lvl w:ilvl="2" w:tplc="5810B90C">
      <w:start w:val="1"/>
      <w:numFmt w:val="bullet"/>
      <w:lvlText w:val=""/>
      <w:lvlJc w:val="left"/>
      <w:pPr>
        <w:ind w:left="2160" w:hanging="360"/>
      </w:pPr>
      <w:rPr>
        <w:rFonts w:ascii="Wingdings" w:hAnsi="Wingdings" w:hint="default"/>
      </w:rPr>
    </w:lvl>
    <w:lvl w:ilvl="3" w:tplc="92DC738E">
      <w:start w:val="1"/>
      <w:numFmt w:val="bullet"/>
      <w:lvlText w:val=""/>
      <w:lvlJc w:val="left"/>
      <w:pPr>
        <w:ind w:left="2880" w:hanging="360"/>
      </w:pPr>
      <w:rPr>
        <w:rFonts w:ascii="Symbol" w:hAnsi="Symbol" w:hint="default"/>
      </w:rPr>
    </w:lvl>
    <w:lvl w:ilvl="4" w:tplc="863C15FE">
      <w:start w:val="1"/>
      <w:numFmt w:val="bullet"/>
      <w:lvlText w:val="o"/>
      <w:lvlJc w:val="left"/>
      <w:pPr>
        <w:ind w:left="3600" w:hanging="360"/>
      </w:pPr>
      <w:rPr>
        <w:rFonts w:ascii="Courier New" w:hAnsi="Courier New" w:hint="default"/>
      </w:rPr>
    </w:lvl>
    <w:lvl w:ilvl="5" w:tplc="EE4A5466">
      <w:start w:val="1"/>
      <w:numFmt w:val="bullet"/>
      <w:lvlText w:val=""/>
      <w:lvlJc w:val="left"/>
      <w:pPr>
        <w:ind w:left="4320" w:hanging="360"/>
      </w:pPr>
      <w:rPr>
        <w:rFonts w:ascii="Wingdings" w:hAnsi="Wingdings" w:hint="default"/>
      </w:rPr>
    </w:lvl>
    <w:lvl w:ilvl="6" w:tplc="1CECCFCA">
      <w:start w:val="1"/>
      <w:numFmt w:val="bullet"/>
      <w:lvlText w:val=""/>
      <w:lvlJc w:val="left"/>
      <w:pPr>
        <w:ind w:left="5040" w:hanging="360"/>
      </w:pPr>
      <w:rPr>
        <w:rFonts w:ascii="Symbol" w:hAnsi="Symbol" w:hint="default"/>
      </w:rPr>
    </w:lvl>
    <w:lvl w:ilvl="7" w:tplc="F52ADBC2">
      <w:start w:val="1"/>
      <w:numFmt w:val="bullet"/>
      <w:lvlText w:val="o"/>
      <w:lvlJc w:val="left"/>
      <w:pPr>
        <w:ind w:left="5760" w:hanging="360"/>
      </w:pPr>
      <w:rPr>
        <w:rFonts w:ascii="Courier New" w:hAnsi="Courier New" w:hint="default"/>
      </w:rPr>
    </w:lvl>
    <w:lvl w:ilvl="8" w:tplc="392C9494">
      <w:start w:val="1"/>
      <w:numFmt w:val="bullet"/>
      <w:lvlText w:val=""/>
      <w:lvlJc w:val="left"/>
      <w:pPr>
        <w:ind w:left="6480" w:hanging="360"/>
      </w:pPr>
      <w:rPr>
        <w:rFonts w:ascii="Wingdings" w:hAnsi="Wingdings" w:hint="default"/>
      </w:rPr>
    </w:lvl>
  </w:abstractNum>
  <w:abstractNum w:abstractNumId="7" w15:restartNumberingAfterBreak="0">
    <w:nsid w:val="44C42C3A"/>
    <w:multiLevelType w:val="hybridMultilevel"/>
    <w:tmpl w:val="FFFFFFFF"/>
    <w:lvl w:ilvl="0" w:tplc="AD809FE2">
      <w:start w:val="1"/>
      <w:numFmt w:val="bullet"/>
      <w:lvlText w:val="·"/>
      <w:lvlJc w:val="left"/>
      <w:pPr>
        <w:ind w:left="720" w:hanging="360"/>
      </w:pPr>
      <w:rPr>
        <w:rFonts w:ascii="Symbol" w:hAnsi="Symbol" w:hint="default"/>
      </w:rPr>
    </w:lvl>
    <w:lvl w:ilvl="1" w:tplc="519E8AA2">
      <w:start w:val="1"/>
      <w:numFmt w:val="bullet"/>
      <w:lvlText w:val="o"/>
      <w:lvlJc w:val="left"/>
      <w:pPr>
        <w:ind w:left="1440" w:hanging="360"/>
      </w:pPr>
      <w:rPr>
        <w:rFonts w:ascii="Courier New" w:hAnsi="Courier New" w:hint="default"/>
      </w:rPr>
    </w:lvl>
    <w:lvl w:ilvl="2" w:tplc="C9DEF410">
      <w:start w:val="1"/>
      <w:numFmt w:val="bullet"/>
      <w:lvlText w:val=""/>
      <w:lvlJc w:val="left"/>
      <w:pPr>
        <w:ind w:left="2160" w:hanging="360"/>
      </w:pPr>
      <w:rPr>
        <w:rFonts w:ascii="Wingdings" w:hAnsi="Wingdings" w:hint="default"/>
      </w:rPr>
    </w:lvl>
    <w:lvl w:ilvl="3" w:tplc="C48CEC0A">
      <w:start w:val="1"/>
      <w:numFmt w:val="bullet"/>
      <w:lvlText w:val=""/>
      <w:lvlJc w:val="left"/>
      <w:pPr>
        <w:ind w:left="2880" w:hanging="360"/>
      </w:pPr>
      <w:rPr>
        <w:rFonts w:ascii="Symbol" w:hAnsi="Symbol" w:hint="default"/>
      </w:rPr>
    </w:lvl>
    <w:lvl w:ilvl="4" w:tplc="F63045FA">
      <w:start w:val="1"/>
      <w:numFmt w:val="bullet"/>
      <w:lvlText w:val="o"/>
      <w:lvlJc w:val="left"/>
      <w:pPr>
        <w:ind w:left="3600" w:hanging="360"/>
      </w:pPr>
      <w:rPr>
        <w:rFonts w:ascii="Courier New" w:hAnsi="Courier New" w:hint="default"/>
      </w:rPr>
    </w:lvl>
    <w:lvl w:ilvl="5" w:tplc="D6D0A152">
      <w:start w:val="1"/>
      <w:numFmt w:val="bullet"/>
      <w:lvlText w:val=""/>
      <w:lvlJc w:val="left"/>
      <w:pPr>
        <w:ind w:left="4320" w:hanging="360"/>
      </w:pPr>
      <w:rPr>
        <w:rFonts w:ascii="Wingdings" w:hAnsi="Wingdings" w:hint="default"/>
      </w:rPr>
    </w:lvl>
    <w:lvl w:ilvl="6" w:tplc="570857CE">
      <w:start w:val="1"/>
      <w:numFmt w:val="bullet"/>
      <w:lvlText w:val=""/>
      <w:lvlJc w:val="left"/>
      <w:pPr>
        <w:ind w:left="5040" w:hanging="360"/>
      </w:pPr>
      <w:rPr>
        <w:rFonts w:ascii="Symbol" w:hAnsi="Symbol" w:hint="default"/>
      </w:rPr>
    </w:lvl>
    <w:lvl w:ilvl="7" w:tplc="0B86556C">
      <w:start w:val="1"/>
      <w:numFmt w:val="bullet"/>
      <w:lvlText w:val="o"/>
      <w:lvlJc w:val="left"/>
      <w:pPr>
        <w:ind w:left="5760" w:hanging="360"/>
      </w:pPr>
      <w:rPr>
        <w:rFonts w:ascii="Courier New" w:hAnsi="Courier New" w:hint="default"/>
      </w:rPr>
    </w:lvl>
    <w:lvl w:ilvl="8" w:tplc="A6D49C48">
      <w:start w:val="1"/>
      <w:numFmt w:val="bullet"/>
      <w:lvlText w:val=""/>
      <w:lvlJc w:val="left"/>
      <w:pPr>
        <w:ind w:left="6480" w:hanging="360"/>
      </w:pPr>
      <w:rPr>
        <w:rFonts w:ascii="Wingdings" w:hAnsi="Wingdings" w:hint="default"/>
      </w:rPr>
    </w:lvl>
  </w:abstractNum>
  <w:abstractNum w:abstractNumId="8" w15:restartNumberingAfterBreak="0">
    <w:nsid w:val="459CDB82"/>
    <w:multiLevelType w:val="hybridMultilevel"/>
    <w:tmpl w:val="FFFFFFFF"/>
    <w:lvl w:ilvl="0" w:tplc="1FB6F0B6">
      <w:start w:val="1"/>
      <w:numFmt w:val="bullet"/>
      <w:lvlText w:val="·"/>
      <w:lvlJc w:val="left"/>
      <w:pPr>
        <w:ind w:left="720" w:hanging="360"/>
      </w:pPr>
      <w:rPr>
        <w:rFonts w:ascii="Symbol" w:hAnsi="Symbol" w:hint="default"/>
      </w:rPr>
    </w:lvl>
    <w:lvl w:ilvl="1" w:tplc="1764ABDA">
      <w:start w:val="1"/>
      <w:numFmt w:val="bullet"/>
      <w:lvlText w:val="o"/>
      <w:lvlJc w:val="left"/>
      <w:pPr>
        <w:ind w:left="1440" w:hanging="360"/>
      </w:pPr>
      <w:rPr>
        <w:rFonts w:ascii="Courier New" w:hAnsi="Courier New" w:hint="default"/>
      </w:rPr>
    </w:lvl>
    <w:lvl w:ilvl="2" w:tplc="5E46FDD0">
      <w:start w:val="1"/>
      <w:numFmt w:val="bullet"/>
      <w:lvlText w:val=""/>
      <w:lvlJc w:val="left"/>
      <w:pPr>
        <w:ind w:left="2160" w:hanging="360"/>
      </w:pPr>
      <w:rPr>
        <w:rFonts w:ascii="Wingdings" w:hAnsi="Wingdings" w:hint="default"/>
      </w:rPr>
    </w:lvl>
    <w:lvl w:ilvl="3" w:tplc="B7E692C6">
      <w:start w:val="1"/>
      <w:numFmt w:val="bullet"/>
      <w:lvlText w:val=""/>
      <w:lvlJc w:val="left"/>
      <w:pPr>
        <w:ind w:left="2880" w:hanging="360"/>
      </w:pPr>
      <w:rPr>
        <w:rFonts w:ascii="Symbol" w:hAnsi="Symbol" w:hint="default"/>
      </w:rPr>
    </w:lvl>
    <w:lvl w:ilvl="4" w:tplc="245AF8C4">
      <w:start w:val="1"/>
      <w:numFmt w:val="bullet"/>
      <w:lvlText w:val="o"/>
      <w:lvlJc w:val="left"/>
      <w:pPr>
        <w:ind w:left="3600" w:hanging="360"/>
      </w:pPr>
      <w:rPr>
        <w:rFonts w:ascii="Courier New" w:hAnsi="Courier New" w:hint="default"/>
      </w:rPr>
    </w:lvl>
    <w:lvl w:ilvl="5" w:tplc="401862CC">
      <w:start w:val="1"/>
      <w:numFmt w:val="bullet"/>
      <w:lvlText w:val=""/>
      <w:lvlJc w:val="left"/>
      <w:pPr>
        <w:ind w:left="4320" w:hanging="360"/>
      </w:pPr>
      <w:rPr>
        <w:rFonts w:ascii="Wingdings" w:hAnsi="Wingdings" w:hint="default"/>
      </w:rPr>
    </w:lvl>
    <w:lvl w:ilvl="6" w:tplc="A5288FBE">
      <w:start w:val="1"/>
      <w:numFmt w:val="bullet"/>
      <w:lvlText w:val=""/>
      <w:lvlJc w:val="left"/>
      <w:pPr>
        <w:ind w:left="5040" w:hanging="360"/>
      </w:pPr>
      <w:rPr>
        <w:rFonts w:ascii="Symbol" w:hAnsi="Symbol" w:hint="default"/>
      </w:rPr>
    </w:lvl>
    <w:lvl w:ilvl="7" w:tplc="DF42919E">
      <w:start w:val="1"/>
      <w:numFmt w:val="bullet"/>
      <w:lvlText w:val="o"/>
      <w:lvlJc w:val="left"/>
      <w:pPr>
        <w:ind w:left="5760" w:hanging="360"/>
      </w:pPr>
      <w:rPr>
        <w:rFonts w:ascii="Courier New" w:hAnsi="Courier New" w:hint="default"/>
      </w:rPr>
    </w:lvl>
    <w:lvl w:ilvl="8" w:tplc="FFF2B160">
      <w:start w:val="1"/>
      <w:numFmt w:val="bullet"/>
      <w:lvlText w:val=""/>
      <w:lvlJc w:val="left"/>
      <w:pPr>
        <w:ind w:left="6480" w:hanging="360"/>
      </w:pPr>
      <w:rPr>
        <w:rFonts w:ascii="Wingdings" w:hAnsi="Wingdings" w:hint="default"/>
      </w:rPr>
    </w:lvl>
  </w:abstractNum>
  <w:abstractNum w:abstractNumId="9" w15:restartNumberingAfterBreak="0">
    <w:nsid w:val="47EEEDF9"/>
    <w:multiLevelType w:val="hybridMultilevel"/>
    <w:tmpl w:val="FFFFFFFF"/>
    <w:lvl w:ilvl="0" w:tplc="8BACC572">
      <w:start w:val="1"/>
      <w:numFmt w:val="bullet"/>
      <w:lvlText w:val=""/>
      <w:lvlJc w:val="left"/>
      <w:pPr>
        <w:ind w:left="720" w:hanging="360"/>
      </w:pPr>
      <w:rPr>
        <w:rFonts w:ascii="Symbol" w:hAnsi="Symbol" w:hint="default"/>
      </w:rPr>
    </w:lvl>
    <w:lvl w:ilvl="1" w:tplc="25DAA130">
      <w:start w:val="1"/>
      <w:numFmt w:val="bullet"/>
      <w:lvlText w:val="o"/>
      <w:lvlJc w:val="left"/>
      <w:pPr>
        <w:ind w:left="1440" w:hanging="360"/>
      </w:pPr>
      <w:rPr>
        <w:rFonts w:ascii="Courier New" w:hAnsi="Courier New" w:hint="default"/>
      </w:rPr>
    </w:lvl>
    <w:lvl w:ilvl="2" w:tplc="17F20D12">
      <w:start w:val="1"/>
      <w:numFmt w:val="bullet"/>
      <w:lvlText w:val=""/>
      <w:lvlJc w:val="left"/>
      <w:pPr>
        <w:ind w:left="2160" w:hanging="360"/>
      </w:pPr>
      <w:rPr>
        <w:rFonts w:ascii="Wingdings" w:hAnsi="Wingdings" w:hint="default"/>
      </w:rPr>
    </w:lvl>
    <w:lvl w:ilvl="3" w:tplc="DF36B73C">
      <w:start w:val="1"/>
      <w:numFmt w:val="bullet"/>
      <w:lvlText w:val=""/>
      <w:lvlJc w:val="left"/>
      <w:pPr>
        <w:ind w:left="2880" w:hanging="360"/>
      </w:pPr>
      <w:rPr>
        <w:rFonts w:ascii="Symbol" w:hAnsi="Symbol" w:hint="default"/>
      </w:rPr>
    </w:lvl>
    <w:lvl w:ilvl="4" w:tplc="FAA896CA">
      <w:start w:val="1"/>
      <w:numFmt w:val="bullet"/>
      <w:lvlText w:val="o"/>
      <w:lvlJc w:val="left"/>
      <w:pPr>
        <w:ind w:left="3600" w:hanging="360"/>
      </w:pPr>
      <w:rPr>
        <w:rFonts w:ascii="Courier New" w:hAnsi="Courier New" w:hint="default"/>
      </w:rPr>
    </w:lvl>
    <w:lvl w:ilvl="5" w:tplc="67E8A3BE">
      <w:start w:val="1"/>
      <w:numFmt w:val="bullet"/>
      <w:lvlText w:val=""/>
      <w:lvlJc w:val="left"/>
      <w:pPr>
        <w:ind w:left="4320" w:hanging="360"/>
      </w:pPr>
      <w:rPr>
        <w:rFonts w:ascii="Wingdings" w:hAnsi="Wingdings" w:hint="default"/>
      </w:rPr>
    </w:lvl>
    <w:lvl w:ilvl="6" w:tplc="5898569C">
      <w:start w:val="1"/>
      <w:numFmt w:val="bullet"/>
      <w:lvlText w:val=""/>
      <w:lvlJc w:val="left"/>
      <w:pPr>
        <w:ind w:left="5040" w:hanging="360"/>
      </w:pPr>
      <w:rPr>
        <w:rFonts w:ascii="Symbol" w:hAnsi="Symbol" w:hint="default"/>
      </w:rPr>
    </w:lvl>
    <w:lvl w:ilvl="7" w:tplc="F2C27ECE">
      <w:start w:val="1"/>
      <w:numFmt w:val="bullet"/>
      <w:lvlText w:val="o"/>
      <w:lvlJc w:val="left"/>
      <w:pPr>
        <w:ind w:left="5760" w:hanging="360"/>
      </w:pPr>
      <w:rPr>
        <w:rFonts w:ascii="Courier New" w:hAnsi="Courier New" w:hint="default"/>
      </w:rPr>
    </w:lvl>
    <w:lvl w:ilvl="8" w:tplc="03729F2E">
      <w:start w:val="1"/>
      <w:numFmt w:val="bullet"/>
      <w:lvlText w:val=""/>
      <w:lvlJc w:val="left"/>
      <w:pPr>
        <w:ind w:left="6480" w:hanging="360"/>
      </w:pPr>
      <w:rPr>
        <w:rFonts w:ascii="Wingdings" w:hAnsi="Wingdings" w:hint="default"/>
      </w:rPr>
    </w:lvl>
  </w:abstractNum>
  <w:abstractNum w:abstractNumId="10" w15:restartNumberingAfterBreak="0">
    <w:nsid w:val="4FF1A6CC"/>
    <w:multiLevelType w:val="hybridMultilevel"/>
    <w:tmpl w:val="FFFFFFFF"/>
    <w:lvl w:ilvl="0" w:tplc="265CE3D2">
      <w:start w:val="1"/>
      <w:numFmt w:val="bullet"/>
      <w:lvlText w:val=""/>
      <w:lvlJc w:val="left"/>
      <w:pPr>
        <w:ind w:left="720" w:hanging="360"/>
      </w:pPr>
      <w:rPr>
        <w:rFonts w:ascii="Symbol" w:hAnsi="Symbol" w:hint="default"/>
      </w:rPr>
    </w:lvl>
    <w:lvl w:ilvl="1" w:tplc="97285796">
      <w:start w:val="1"/>
      <w:numFmt w:val="bullet"/>
      <w:lvlText w:val="o"/>
      <w:lvlJc w:val="left"/>
      <w:pPr>
        <w:ind w:left="1440" w:hanging="360"/>
      </w:pPr>
      <w:rPr>
        <w:rFonts w:ascii="Courier New" w:hAnsi="Courier New" w:hint="default"/>
      </w:rPr>
    </w:lvl>
    <w:lvl w:ilvl="2" w:tplc="9C32A3FC">
      <w:start w:val="1"/>
      <w:numFmt w:val="bullet"/>
      <w:lvlText w:val=""/>
      <w:lvlJc w:val="left"/>
      <w:pPr>
        <w:ind w:left="2160" w:hanging="360"/>
      </w:pPr>
      <w:rPr>
        <w:rFonts w:ascii="Wingdings" w:hAnsi="Wingdings" w:hint="default"/>
      </w:rPr>
    </w:lvl>
    <w:lvl w:ilvl="3" w:tplc="86A02B0C">
      <w:start w:val="1"/>
      <w:numFmt w:val="bullet"/>
      <w:lvlText w:val=""/>
      <w:lvlJc w:val="left"/>
      <w:pPr>
        <w:ind w:left="2880" w:hanging="360"/>
      </w:pPr>
      <w:rPr>
        <w:rFonts w:ascii="Symbol" w:hAnsi="Symbol" w:hint="default"/>
      </w:rPr>
    </w:lvl>
    <w:lvl w:ilvl="4" w:tplc="AF5C0C5C">
      <w:start w:val="1"/>
      <w:numFmt w:val="bullet"/>
      <w:lvlText w:val="o"/>
      <w:lvlJc w:val="left"/>
      <w:pPr>
        <w:ind w:left="3600" w:hanging="360"/>
      </w:pPr>
      <w:rPr>
        <w:rFonts w:ascii="Courier New" w:hAnsi="Courier New" w:hint="default"/>
      </w:rPr>
    </w:lvl>
    <w:lvl w:ilvl="5" w:tplc="A482848A">
      <w:start w:val="1"/>
      <w:numFmt w:val="bullet"/>
      <w:lvlText w:val=""/>
      <w:lvlJc w:val="left"/>
      <w:pPr>
        <w:ind w:left="4320" w:hanging="360"/>
      </w:pPr>
      <w:rPr>
        <w:rFonts w:ascii="Wingdings" w:hAnsi="Wingdings" w:hint="default"/>
      </w:rPr>
    </w:lvl>
    <w:lvl w:ilvl="6" w:tplc="3D509A5E">
      <w:start w:val="1"/>
      <w:numFmt w:val="bullet"/>
      <w:lvlText w:val=""/>
      <w:lvlJc w:val="left"/>
      <w:pPr>
        <w:ind w:left="5040" w:hanging="360"/>
      </w:pPr>
      <w:rPr>
        <w:rFonts w:ascii="Symbol" w:hAnsi="Symbol" w:hint="default"/>
      </w:rPr>
    </w:lvl>
    <w:lvl w:ilvl="7" w:tplc="AA807760">
      <w:start w:val="1"/>
      <w:numFmt w:val="bullet"/>
      <w:lvlText w:val="o"/>
      <w:lvlJc w:val="left"/>
      <w:pPr>
        <w:ind w:left="5760" w:hanging="360"/>
      </w:pPr>
      <w:rPr>
        <w:rFonts w:ascii="Courier New" w:hAnsi="Courier New" w:hint="default"/>
      </w:rPr>
    </w:lvl>
    <w:lvl w:ilvl="8" w:tplc="36269FE6">
      <w:start w:val="1"/>
      <w:numFmt w:val="bullet"/>
      <w:lvlText w:val=""/>
      <w:lvlJc w:val="left"/>
      <w:pPr>
        <w:ind w:left="6480" w:hanging="360"/>
      </w:pPr>
      <w:rPr>
        <w:rFonts w:ascii="Wingdings" w:hAnsi="Wingdings" w:hint="default"/>
      </w:rPr>
    </w:lvl>
  </w:abstractNum>
  <w:abstractNum w:abstractNumId="11" w15:restartNumberingAfterBreak="0">
    <w:nsid w:val="52214CBD"/>
    <w:multiLevelType w:val="hybridMultilevel"/>
    <w:tmpl w:val="FFFFFFFF"/>
    <w:lvl w:ilvl="0" w:tplc="D42E864C">
      <w:start w:val="1"/>
      <w:numFmt w:val="bullet"/>
      <w:lvlText w:val="·"/>
      <w:lvlJc w:val="left"/>
      <w:pPr>
        <w:ind w:left="720" w:hanging="360"/>
      </w:pPr>
      <w:rPr>
        <w:rFonts w:ascii="Symbol" w:hAnsi="Symbol" w:hint="default"/>
      </w:rPr>
    </w:lvl>
    <w:lvl w:ilvl="1" w:tplc="9D347F6A">
      <w:start w:val="1"/>
      <w:numFmt w:val="bullet"/>
      <w:lvlText w:val="o"/>
      <w:lvlJc w:val="left"/>
      <w:pPr>
        <w:ind w:left="1440" w:hanging="360"/>
      </w:pPr>
      <w:rPr>
        <w:rFonts w:ascii="Courier New" w:hAnsi="Courier New" w:hint="default"/>
      </w:rPr>
    </w:lvl>
    <w:lvl w:ilvl="2" w:tplc="810083A8">
      <w:start w:val="1"/>
      <w:numFmt w:val="bullet"/>
      <w:lvlText w:val=""/>
      <w:lvlJc w:val="left"/>
      <w:pPr>
        <w:ind w:left="2160" w:hanging="360"/>
      </w:pPr>
      <w:rPr>
        <w:rFonts w:ascii="Wingdings" w:hAnsi="Wingdings" w:hint="default"/>
      </w:rPr>
    </w:lvl>
    <w:lvl w:ilvl="3" w:tplc="49F2610C">
      <w:start w:val="1"/>
      <w:numFmt w:val="bullet"/>
      <w:lvlText w:val=""/>
      <w:lvlJc w:val="left"/>
      <w:pPr>
        <w:ind w:left="2880" w:hanging="360"/>
      </w:pPr>
      <w:rPr>
        <w:rFonts w:ascii="Symbol" w:hAnsi="Symbol" w:hint="default"/>
      </w:rPr>
    </w:lvl>
    <w:lvl w:ilvl="4" w:tplc="7082C886">
      <w:start w:val="1"/>
      <w:numFmt w:val="bullet"/>
      <w:lvlText w:val="o"/>
      <w:lvlJc w:val="left"/>
      <w:pPr>
        <w:ind w:left="3600" w:hanging="360"/>
      </w:pPr>
      <w:rPr>
        <w:rFonts w:ascii="Courier New" w:hAnsi="Courier New" w:hint="default"/>
      </w:rPr>
    </w:lvl>
    <w:lvl w:ilvl="5" w:tplc="521ED8D4">
      <w:start w:val="1"/>
      <w:numFmt w:val="bullet"/>
      <w:lvlText w:val=""/>
      <w:lvlJc w:val="left"/>
      <w:pPr>
        <w:ind w:left="4320" w:hanging="360"/>
      </w:pPr>
      <w:rPr>
        <w:rFonts w:ascii="Wingdings" w:hAnsi="Wingdings" w:hint="default"/>
      </w:rPr>
    </w:lvl>
    <w:lvl w:ilvl="6" w:tplc="FAFE7370">
      <w:start w:val="1"/>
      <w:numFmt w:val="bullet"/>
      <w:lvlText w:val=""/>
      <w:lvlJc w:val="left"/>
      <w:pPr>
        <w:ind w:left="5040" w:hanging="360"/>
      </w:pPr>
      <w:rPr>
        <w:rFonts w:ascii="Symbol" w:hAnsi="Symbol" w:hint="default"/>
      </w:rPr>
    </w:lvl>
    <w:lvl w:ilvl="7" w:tplc="29D42606">
      <w:start w:val="1"/>
      <w:numFmt w:val="bullet"/>
      <w:lvlText w:val="o"/>
      <w:lvlJc w:val="left"/>
      <w:pPr>
        <w:ind w:left="5760" w:hanging="360"/>
      </w:pPr>
      <w:rPr>
        <w:rFonts w:ascii="Courier New" w:hAnsi="Courier New" w:hint="default"/>
      </w:rPr>
    </w:lvl>
    <w:lvl w:ilvl="8" w:tplc="30E06CB0">
      <w:start w:val="1"/>
      <w:numFmt w:val="bullet"/>
      <w:lvlText w:val=""/>
      <w:lvlJc w:val="left"/>
      <w:pPr>
        <w:ind w:left="6480" w:hanging="360"/>
      </w:pPr>
      <w:rPr>
        <w:rFonts w:ascii="Wingdings" w:hAnsi="Wingdings" w:hint="default"/>
      </w:rPr>
    </w:lvl>
  </w:abstractNum>
  <w:abstractNum w:abstractNumId="12" w15:restartNumberingAfterBreak="0">
    <w:nsid w:val="5FA2CB84"/>
    <w:multiLevelType w:val="hybridMultilevel"/>
    <w:tmpl w:val="FFFFFFFF"/>
    <w:lvl w:ilvl="0" w:tplc="D79054C6">
      <w:start w:val="1"/>
      <w:numFmt w:val="bullet"/>
      <w:lvlText w:val="·"/>
      <w:lvlJc w:val="left"/>
      <w:pPr>
        <w:ind w:left="720" w:hanging="360"/>
      </w:pPr>
      <w:rPr>
        <w:rFonts w:ascii="Symbol" w:hAnsi="Symbol" w:hint="default"/>
      </w:rPr>
    </w:lvl>
    <w:lvl w:ilvl="1" w:tplc="901E3AFE">
      <w:start w:val="1"/>
      <w:numFmt w:val="bullet"/>
      <w:lvlText w:val="o"/>
      <w:lvlJc w:val="left"/>
      <w:pPr>
        <w:ind w:left="1440" w:hanging="360"/>
      </w:pPr>
      <w:rPr>
        <w:rFonts w:ascii="Courier New" w:hAnsi="Courier New" w:hint="default"/>
      </w:rPr>
    </w:lvl>
    <w:lvl w:ilvl="2" w:tplc="A2226012">
      <w:start w:val="1"/>
      <w:numFmt w:val="bullet"/>
      <w:lvlText w:val=""/>
      <w:lvlJc w:val="left"/>
      <w:pPr>
        <w:ind w:left="2160" w:hanging="360"/>
      </w:pPr>
      <w:rPr>
        <w:rFonts w:ascii="Wingdings" w:hAnsi="Wingdings" w:hint="default"/>
      </w:rPr>
    </w:lvl>
    <w:lvl w:ilvl="3" w:tplc="EE3872C6">
      <w:start w:val="1"/>
      <w:numFmt w:val="bullet"/>
      <w:lvlText w:val=""/>
      <w:lvlJc w:val="left"/>
      <w:pPr>
        <w:ind w:left="2880" w:hanging="360"/>
      </w:pPr>
      <w:rPr>
        <w:rFonts w:ascii="Symbol" w:hAnsi="Symbol" w:hint="default"/>
      </w:rPr>
    </w:lvl>
    <w:lvl w:ilvl="4" w:tplc="B49EBB3A">
      <w:start w:val="1"/>
      <w:numFmt w:val="bullet"/>
      <w:lvlText w:val="o"/>
      <w:lvlJc w:val="left"/>
      <w:pPr>
        <w:ind w:left="3600" w:hanging="360"/>
      </w:pPr>
      <w:rPr>
        <w:rFonts w:ascii="Courier New" w:hAnsi="Courier New" w:hint="default"/>
      </w:rPr>
    </w:lvl>
    <w:lvl w:ilvl="5" w:tplc="51B28C68">
      <w:start w:val="1"/>
      <w:numFmt w:val="bullet"/>
      <w:lvlText w:val=""/>
      <w:lvlJc w:val="left"/>
      <w:pPr>
        <w:ind w:left="4320" w:hanging="360"/>
      </w:pPr>
      <w:rPr>
        <w:rFonts w:ascii="Wingdings" w:hAnsi="Wingdings" w:hint="default"/>
      </w:rPr>
    </w:lvl>
    <w:lvl w:ilvl="6" w:tplc="E43C5120">
      <w:start w:val="1"/>
      <w:numFmt w:val="bullet"/>
      <w:lvlText w:val=""/>
      <w:lvlJc w:val="left"/>
      <w:pPr>
        <w:ind w:left="5040" w:hanging="360"/>
      </w:pPr>
      <w:rPr>
        <w:rFonts w:ascii="Symbol" w:hAnsi="Symbol" w:hint="default"/>
      </w:rPr>
    </w:lvl>
    <w:lvl w:ilvl="7" w:tplc="A0B85140">
      <w:start w:val="1"/>
      <w:numFmt w:val="bullet"/>
      <w:lvlText w:val="o"/>
      <w:lvlJc w:val="left"/>
      <w:pPr>
        <w:ind w:left="5760" w:hanging="360"/>
      </w:pPr>
      <w:rPr>
        <w:rFonts w:ascii="Courier New" w:hAnsi="Courier New" w:hint="default"/>
      </w:rPr>
    </w:lvl>
    <w:lvl w:ilvl="8" w:tplc="907437D4">
      <w:start w:val="1"/>
      <w:numFmt w:val="bullet"/>
      <w:lvlText w:val=""/>
      <w:lvlJc w:val="left"/>
      <w:pPr>
        <w:ind w:left="6480" w:hanging="360"/>
      </w:pPr>
      <w:rPr>
        <w:rFonts w:ascii="Wingdings" w:hAnsi="Wingdings" w:hint="default"/>
      </w:rPr>
    </w:lvl>
  </w:abstractNum>
  <w:abstractNum w:abstractNumId="13" w15:restartNumberingAfterBreak="0">
    <w:nsid w:val="630FC4A8"/>
    <w:multiLevelType w:val="hybridMultilevel"/>
    <w:tmpl w:val="FFFFFFFF"/>
    <w:lvl w:ilvl="0" w:tplc="221E2BD4">
      <w:start w:val="1"/>
      <w:numFmt w:val="decimal"/>
      <w:lvlText w:val="%1."/>
      <w:lvlJc w:val="left"/>
      <w:pPr>
        <w:ind w:left="720" w:hanging="360"/>
      </w:pPr>
    </w:lvl>
    <w:lvl w:ilvl="1" w:tplc="E93A1EBC">
      <w:start w:val="1"/>
      <w:numFmt w:val="lowerLetter"/>
      <w:lvlText w:val="%2."/>
      <w:lvlJc w:val="left"/>
      <w:pPr>
        <w:ind w:left="1440" w:hanging="360"/>
      </w:pPr>
    </w:lvl>
    <w:lvl w:ilvl="2" w:tplc="6FB273AC">
      <w:start w:val="1"/>
      <w:numFmt w:val="lowerRoman"/>
      <w:lvlText w:val="%3."/>
      <w:lvlJc w:val="right"/>
      <w:pPr>
        <w:ind w:left="2160" w:hanging="180"/>
      </w:pPr>
    </w:lvl>
    <w:lvl w:ilvl="3" w:tplc="FA565C0E">
      <w:start w:val="1"/>
      <w:numFmt w:val="decimal"/>
      <w:lvlText w:val="%4."/>
      <w:lvlJc w:val="left"/>
      <w:pPr>
        <w:ind w:left="2880" w:hanging="360"/>
      </w:pPr>
    </w:lvl>
    <w:lvl w:ilvl="4" w:tplc="1F14C970">
      <w:start w:val="1"/>
      <w:numFmt w:val="lowerLetter"/>
      <w:lvlText w:val="%5."/>
      <w:lvlJc w:val="left"/>
      <w:pPr>
        <w:ind w:left="3600" w:hanging="360"/>
      </w:pPr>
    </w:lvl>
    <w:lvl w:ilvl="5" w:tplc="873215D4">
      <w:start w:val="1"/>
      <w:numFmt w:val="lowerRoman"/>
      <w:lvlText w:val="%6."/>
      <w:lvlJc w:val="right"/>
      <w:pPr>
        <w:ind w:left="4320" w:hanging="180"/>
      </w:pPr>
    </w:lvl>
    <w:lvl w:ilvl="6" w:tplc="CFD82B00">
      <w:start w:val="1"/>
      <w:numFmt w:val="decimal"/>
      <w:lvlText w:val="%7."/>
      <w:lvlJc w:val="left"/>
      <w:pPr>
        <w:ind w:left="5040" w:hanging="360"/>
      </w:pPr>
    </w:lvl>
    <w:lvl w:ilvl="7" w:tplc="00261058">
      <w:start w:val="1"/>
      <w:numFmt w:val="lowerLetter"/>
      <w:lvlText w:val="%8."/>
      <w:lvlJc w:val="left"/>
      <w:pPr>
        <w:ind w:left="5760" w:hanging="360"/>
      </w:pPr>
    </w:lvl>
    <w:lvl w:ilvl="8" w:tplc="46DE2A96">
      <w:start w:val="1"/>
      <w:numFmt w:val="lowerRoman"/>
      <w:lvlText w:val="%9."/>
      <w:lvlJc w:val="right"/>
      <w:pPr>
        <w:ind w:left="6480" w:hanging="180"/>
      </w:pPr>
    </w:lvl>
  </w:abstractNum>
  <w:abstractNum w:abstractNumId="14" w15:restartNumberingAfterBreak="0">
    <w:nsid w:val="74607014"/>
    <w:multiLevelType w:val="hybridMultilevel"/>
    <w:tmpl w:val="FFFFFFFF"/>
    <w:lvl w:ilvl="0" w:tplc="E5CC4CA6">
      <w:start w:val="1"/>
      <w:numFmt w:val="bullet"/>
      <w:lvlText w:val=""/>
      <w:lvlJc w:val="left"/>
      <w:pPr>
        <w:ind w:left="720" w:hanging="360"/>
      </w:pPr>
      <w:rPr>
        <w:rFonts w:ascii="Wingdings" w:hAnsi="Wingdings" w:hint="default"/>
      </w:rPr>
    </w:lvl>
    <w:lvl w:ilvl="1" w:tplc="0070369E">
      <w:start w:val="1"/>
      <w:numFmt w:val="bullet"/>
      <w:lvlText w:val="o"/>
      <w:lvlJc w:val="left"/>
      <w:pPr>
        <w:ind w:left="1440" w:hanging="360"/>
      </w:pPr>
      <w:rPr>
        <w:rFonts w:ascii="Courier New" w:hAnsi="Courier New" w:hint="default"/>
      </w:rPr>
    </w:lvl>
    <w:lvl w:ilvl="2" w:tplc="D71604A8">
      <w:start w:val="1"/>
      <w:numFmt w:val="bullet"/>
      <w:lvlText w:val=""/>
      <w:lvlJc w:val="left"/>
      <w:pPr>
        <w:ind w:left="2160" w:hanging="360"/>
      </w:pPr>
      <w:rPr>
        <w:rFonts w:ascii="Wingdings" w:hAnsi="Wingdings" w:hint="default"/>
      </w:rPr>
    </w:lvl>
    <w:lvl w:ilvl="3" w:tplc="15525DE0">
      <w:start w:val="1"/>
      <w:numFmt w:val="bullet"/>
      <w:lvlText w:val=""/>
      <w:lvlJc w:val="left"/>
      <w:pPr>
        <w:ind w:left="2880" w:hanging="360"/>
      </w:pPr>
      <w:rPr>
        <w:rFonts w:ascii="Symbol" w:hAnsi="Symbol" w:hint="default"/>
      </w:rPr>
    </w:lvl>
    <w:lvl w:ilvl="4" w:tplc="CF3E1712">
      <w:start w:val="1"/>
      <w:numFmt w:val="bullet"/>
      <w:lvlText w:val="o"/>
      <w:lvlJc w:val="left"/>
      <w:pPr>
        <w:ind w:left="3600" w:hanging="360"/>
      </w:pPr>
      <w:rPr>
        <w:rFonts w:ascii="Courier New" w:hAnsi="Courier New" w:hint="default"/>
      </w:rPr>
    </w:lvl>
    <w:lvl w:ilvl="5" w:tplc="5670845C">
      <w:start w:val="1"/>
      <w:numFmt w:val="bullet"/>
      <w:lvlText w:val=""/>
      <w:lvlJc w:val="left"/>
      <w:pPr>
        <w:ind w:left="4320" w:hanging="360"/>
      </w:pPr>
      <w:rPr>
        <w:rFonts w:ascii="Wingdings" w:hAnsi="Wingdings" w:hint="default"/>
      </w:rPr>
    </w:lvl>
    <w:lvl w:ilvl="6" w:tplc="2418F066">
      <w:start w:val="1"/>
      <w:numFmt w:val="bullet"/>
      <w:lvlText w:val=""/>
      <w:lvlJc w:val="left"/>
      <w:pPr>
        <w:ind w:left="5040" w:hanging="360"/>
      </w:pPr>
      <w:rPr>
        <w:rFonts w:ascii="Symbol" w:hAnsi="Symbol" w:hint="default"/>
      </w:rPr>
    </w:lvl>
    <w:lvl w:ilvl="7" w:tplc="426800FE">
      <w:start w:val="1"/>
      <w:numFmt w:val="bullet"/>
      <w:lvlText w:val="o"/>
      <w:lvlJc w:val="left"/>
      <w:pPr>
        <w:ind w:left="5760" w:hanging="360"/>
      </w:pPr>
      <w:rPr>
        <w:rFonts w:ascii="Courier New" w:hAnsi="Courier New" w:hint="default"/>
      </w:rPr>
    </w:lvl>
    <w:lvl w:ilvl="8" w:tplc="744859EC">
      <w:start w:val="1"/>
      <w:numFmt w:val="bullet"/>
      <w:lvlText w:val=""/>
      <w:lvlJc w:val="left"/>
      <w:pPr>
        <w:ind w:left="6480" w:hanging="360"/>
      </w:pPr>
      <w:rPr>
        <w:rFonts w:ascii="Wingdings" w:hAnsi="Wingdings" w:hint="default"/>
      </w:rPr>
    </w:lvl>
  </w:abstractNum>
  <w:abstractNum w:abstractNumId="15" w15:restartNumberingAfterBreak="0">
    <w:nsid w:val="79E681C2"/>
    <w:multiLevelType w:val="hybridMultilevel"/>
    <w:tmpl w:val="FFFFFFFF"/>
    <w:lvl w:ilvl="0" w:tplc="22989876">
      <w:start w:val="1"/>
      <w:numFmt w:val="bullet"/>
      <w:lvlText w:val="·"/>
      <w:lvlJc w:val="left"/>
      <w:pPr>
        <w:ind w:left="720" w:hanging="360"/>
      </w:pPr>
      <w:rPr>
        <w:rFonts w:ascii="Symbol" w:hAnsi="Symbol" w:hint="default"/>
      </w:rPr>
    </w:lvl>
    <w:lvl w:ilvl="1" w:tplc="52C4B9B8">
      <w:start w:val="1"/>
      <w:numFmt w:val="bullet"/>
      <w:lvlText w:val="o"/>
      <w:lvlJc w:val="left"/>
      <w:pPr>
        <w:ind w:left="1440" w:hanging="360"/>
      </w:pPr>
      <w:rPr>
        <w:rFonts w:ascii="Courier New" w:hAnsi="Courier New" w:hint="default"/>
      </w:rPr>
    </w:lvl>
    <w:lvl w:ilvl="2" w:tplc="7A9E6E3A">
      <w:start w:val="1"/>
      <w:numFmt w:val="bullet"/>
      <w:lvlText w:val=""/>
      <w:lvlJc w:val="left"/>
      <w:pPr>
        <w:ind w:left="2160" w:hanging="360"/>
      </w:pPr>
      <w:rPr>
        <w:rFonts w:ascii="Wingdings" w:hAnsi="Wingdings" w:hint="default"/>
      </w:rPr>
    </w:lvl>
    <w:lvl w:ilvl="3" w:tplc="227C3688">
      <w:start w:val="1"/>
      <w:numFmt w:val="bullet"/>
      <w:lvlText w:val=""/>
      <w:lvlJc w:val="left"/>
      <w:pPr>
        <w:ind w:left="2880" w:hanging="360"/>
      </w:pPr>
      <w:rPr>
        <w:rFonts w:ascii="Symbol" w:hAnsi="Symbol" w:hint="default"/>
      </w:rPr>
    </w:lvl>
    <w:lvl w:ilvl="4" w:tplc="7DB8807C">
      <w:start w:val="1"/>
      <w:numFmt w:val="bullet"/>
      <w:lvlText w:val="o"/>
      <w:lvlJc w:val="left"/>
      <w:pPr>
        <w:ind w:left="3600" w:hanging="360"/>
      </w:pPr>
      <w:rPr>
        <w:rFonts w:ascii="Courier New" w:hAnsi="Courier New" w:hint="default"/>
      </w:rPr>
    </w:lvl>
    <w:lvl w:ilvl="5" w:tplc="95AA013E">
      <w:start w:val="1"/>
      <w:numFmt w:val="bullet"/>
      <w:lvlText w:val=""/>
      <w:lvlJc w:val="left"/>
      <w:pPr>
        <w:ind w:left="4320" w:hanging="360"/>
      </w:pPr>
      <w:rPr>
        <w:rFonts w:ascii="Wingdings" w:hAnsi="Wingdings" w:hint="default"/>
      </w:rPr>
    </w:lvl>
    <w:lvl w:ilvl="6" w:tplc="EF5AD282">
      <w:start w:val="1"/>
      <w:numFmt w:val="bullet"/>
      <w:lvlText w:val=""/>
      <w:lvlJc w:val="left"/>
      <w:pPr>
        <w:ind w:left="5040" w:hanging="360"/>
      </w:pPr>
      <w:rPr>
        <w:rFonts w:ascii="Symbol" w:hAnsi="Symbol" w:hint="default"/>
      </w:rPr>
    </w:lvl>
    <w:lvl w:ilvl="7" w:tplc="765C27BA">
      <w:start w:val="1"/>
      <w:numFmt w:val="bullet"/>
      <w:lvlText w:val="o"/>
      <w:lvlJc w:val="left"/>
      <w:pPr>
        <w:ind w:left="5760" w:hanging="360"/>
      </w:pPr>
      <w:rPr>
        <w:rFonts w:ascii="Courier New" w:hAnsi="Courier New" w:hint="default"/>
      </w:rPr>
    </w:lvl>
    <w:lvl w:ilvl="8" w:tplc="64AEBDDC">
      <w:start w:val="1"/>
      <w:numFmt w:val="bullet"/>
      <w:lvlText w:val=""/>
      <w:lvlJc w:val="left"/>
      <w:pPr>
        <w:ind w:left="6480" w:hanging="360"/>
      </w:pPr>
      <w:rPr>
        <w:rFonts w:ascii="Wingdings" w:hAnsi="Wingdings" w:hint="default"/>
      </w:rPr>
    </w:lvl>
  </w:abstractNum>
  <w:abstractNum w:abstractNumId="16" w15:restartNumberingAfterBreak="0">
    <w:nsid w:val="7FCAD914"/>
    <w:multiLevelType w:val="hybridMultilevel"/>
    <w:tmpl w:val="FFFFFFFF"/>
    <w:lvl w:ilvl="0" w:tplc="AF1C64A6">
      <w:start w:val="1"/>
      <w:numFmt w:val="bullet"/>
      <w:lvlText w:val="·"/>
      <w:lvlJc w:val="left"/>
      <w:pPr>
        <w:ind w:left="720" w:hanging="360"/>
      </w:pPr>
      <w:rPr>
        <w:rFonts w:ascii="Symbol" w:hAnsi="Symbol" w:hint="default"/>
      </w:rPr>
    </w:lvl>
    <w:lvl w:ilvl="1" w:tplc="CB98221A">
      <w:start w:val="1"/>
      <w:numFmt w:val="bullet"/>
      <w:lvlText w:val="o"/>
      <w:lvlJc w:val="left"/>
      <w:pPr>
        <w:ind w:left="1440" w:hanging="360"/>
      </w:pPr>
      <w:rPr>
        <w:rFonts w:ascii="Courier New" w:hAnsi="Courier New" w:hint="default"/>
      </w:rPr>
    </w:lvl>
    <w:lvl w:ilvl="2" w:tplc="843C6C34">
      <w:start w:val="1"/>
      <w:numFmt w:val="bullet"/>
      <w:lvlText w:val=""/>
      <w:lvlJc w:val="left"/>
      <w:pPr>
        <w:ind w:left="2160" w:hanging="360"/>
      </w:pPr>
      <w:rPr>
        <w:rFonts w:ascii="Wingdings" w:hAnsi="Wingdings" w:hint="default"/>
      </w:rPr>
    </w:lvl>
    <w:lvl w:ilvl="3" w:tplc="9970CFB6">
      <w:start w:val="1"/>
      <w:numFmt w:val="bullet"/>
      <w:lvlText w:val=""/>
      <w:lvlJc w:val="left"/>
      <w:pPr>
        <w:ind w:left="2880" w:hanging="360"/>
      </w:pPr>
      <w:rPr>
        <w:rFonts w:ascii="Symbol" w:hAnsi="Symbol" w:hint="default"/>
      </w:rPr>
    </w:lvl>
    <w:lvl w:ilvl="4" w:tplc="13E461F0">
      <w:start w:val="1"/>
      <w:numFmt w:val="bullet"/>
      <w:lvlText w:val="o"/>
      <w:lvlJc w:val="left"/>
      <w:pPr>
        <w:ind w:left="3600" w:hanging="360"/>
      </w:pPr>
      <w:rPr>
        <w:rFonts w:ascii="Courier New" w:hAnsi="Courier New" w:hint="default"/>
      </w:rPr>
    </w:lvl>
    <w:lvl w:ilvl="5" w:tplc="D20244FA">
      <w:start w:val="1"/>
      <w:numFmt w:val="bullet"/>
      <w:lvlText w:val=""/>
      <w:lvlJc w:val="left"/>
      <w:pPr>
        <w:ind w:left="4320" w:hanging="360"/>
      </w:pPr>
      <w:rPr>
        <w:rFonts w:ascii="Wingdings" w:hAnsi="Wingdings" w:hint="default"/>
      </w:rPr>
    </w:lvl>
    <w:lvl w:ilvl="6" w:tplc="A1D60D62">
      <w:start w:val="1"/>
      <w:numFmt w:val="bullet"/>
      <w:lvlText w:val=""/>
      <w:lvlJc w:val="left"/>
      <w:pPr>
        <w:ind w:left="5040" w:hanging="360"/>
      </w:pPr>
      <w:rPr>
        <w:rFonts w:ascii="Symbol" w:hAnsi="Symbol" w:hint="default"/>
      </w:rPr>
    </w:lvl>
    <w:lvl w:ilvl="7" w:tplc="D3528200">
      <w:start w:val="1"/>
      <w:numFmt w:val="bullet"/>
      <w:lvlText w:val="o"/>
      <w:lvlJc w:val="left"/>
      <w:pPr>
        <w:ind w:left="5760" w:hanging="360"/>
      </w:pPr>
      <w:rPr>
        <w:rFonts w:ascii="Courier New" w:hAnsi="Courier New" w:hint="default"/>
      </w:rPr>
    </w:lvl>
    <w:lvl w:ilvl="8" w:tplc="A87892DE">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5"/>
  </w:num>
  <w:num w:numId="4">
    <w:abstractNumId w:val="13"/>
  </w:num>
  <w:num w:numId="5">
    <w:abstractNumId w:val="9"/>
  </w:num>
  <w:num w:numId="6">
    <w:abstractNumId w:val="3"/>
  </w:num>
  <w:num w:numId="7">
    <w:abstractNumId w:val="7"/>
  </w:num>
  <w:num w:numId="8">
    <w:abstractNumId w:val="2"/>
  </w:num>
  <w:num w:numId="9">
    <w:abstractNumId w:val="15"/>
  </w:num>
  <w:num w:numId="10">
    <w:abstractNumId w:val="12"/>
  </w:num>
  <w:num w:numId="11">
    <w:abstractNumId w:val="11"/>
  </w:num>
  <w:num w:numId="12">
    <w:abstractNumId w:val="16"/>
  </w:num>
  <w:num w:numId="13">
    <w:abstractNumId w:val="8"/>
  </w:num>
  <w:num w:numId="14">
    <w:abstractNumId w:val="4"/>
  </w:num>
  <w:num w:numId="15">
    <w:abstractNumId w:val="6"/>
  </w:num>
  <w:num w:numId="16">
    <w:abstractNumId w:val="1"/>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F7B2AE"/>
    <w:rsid w:val="00181FC3"/>
    <w:rsid w:val="00316B1B"/>
    <w:rsid w:val="0039A37B"/>
    <w:rsid w:val="0040C831"/>
    <w:rsid w:val="00545CD1"/>
    <w:rsid w:val="005C7770"/>
    <w:rsid w:val="0062D7BF"/>
    <w:rsid w:val="00770362"/>
    <w:rsid w:val="007EA35F"/>
    <w:rsid w:val="008474FB"/>
    <w:rsid w:val="00986C67"/>
    <w:rsid w:val="00B0675C"/>
    <w:rsid w:val="00B168A4"/>
    <w:rsid w:val="00E59C92"/>
    <w:rsid w:val="010ECDFB"/>
    <w:rsid w:val="011AA348"/>
    <w:rsid w:val="0126FE56"/>
    <w:rsid w:val="0140A0CD"/>
    <w:rsid w:val="01432955"/>
    <w:rsid w:val="01516968"/>
    <w:rsid w:val="0164C4EF"/>
    <w:rsid w:val="01D303B6"/>
    <w:rsid w:val="0204EEE7"/>
    <w:rsid w:val="0206B263"/>
    <w:rsid w:val="0225BCE8"/>
    <w:rsid w:val="02287A3C"/>
    <w:rsid w:val="023CF406"/>
    <w:rsid w:val="024C0E81"/>
    <w:rsid w:val="02524D1A"/>
    <w:rsid w:val="025C660A"/>
    <w:rsid w:val="026DB33B"/>
    <w:rsid w:val="028A988A"/>
    <w:rsid w:val="0293D9EA"/>
    <w:rsid w:val="02AA9E5C"/>
    <w:rsid w:val="02AB367B"/>
    <w:rsid w:val="02C7BB2E"/>
    <w:rsid w:val="02CBE4AA"/>
    <w:rsid w:val="02DC4E69"/>
    <w:rsid w:val="02DC712E"/>
    <w:rsid w:val="0303AD77"/>
    <w:rsid w:val="03295C38"/>
    <w:rsid w:val="0343D4DE"/>
    <w:rsid w:val="034CEC7C"/>
    <w:rsid w:val="035F0B5C"/>
    <w:rsid w:val="03785439"/>
    <w:rsid w:val="037F65D8"/>
    <w:rsid w:val="03848089"/>
    <w:rsid w:val="0396C0AB"/>
    <w:rsid w:val="03BF12C3"/>
    <w:rsid w:val="03BF42F6"/>
    <w:rsid w:val="03C18D49"/>
    <w:rsid w:val="03E6401B"/>
    <w:rsid w:val="03FC062E"/>
    <w:rsid w:val="04079B7F"/>
    <w:rsid w:val="041681EE"/>
    <w:rsid w:val="0435EB8B"/>
    <w:rsid w:val="04466EBD"/>
    <w:rsid w:val="045540AC"/>
    <w:rsid w:val="04764207"/>
    <w:rsid w:val="04781ECA"/>
    <w:rsid w:val="0478418F"/>
    <w:rsid w:val="0483483E"/>
    <w:rsid w:val="0484BCB8"/>
    <w:rsid w:val="0494C653"/>
    <w:rsid w:val="04AD90AA"/>
    <w:rsid w:val="04B1309D"/>
    <w:rsid w:val="04B3B290"/>
    <w:rsid w:val="04C50F96"/>
    <w:rsid w:val="04E32CDF"/>
    <w:rsid w:val="04E941EE"/>
    <w:rsid w:val="04F4B4B2"/>
    <w:rsid w:val="050D149E"/>
    <w:rsid w:val="0527CDF4"/>
    <w:rsid w:val="053430F3"/>
    <w:rsid w:val="056630B2"/>
    <w:rsid w:val="05B47C6B"/>
    <w:rsid w:val="05D010A5"/>
    <w:rsid w:val="05FB677B"/>
    <w:rsid w:val="060B718A"/>
    <w:rsid w:val="06208D19"/>
    <w:rsid w:val="0624C192"/>
    <w:rsid w:val="0625043C"/>
    <w:rsid w:val="06512071"/>
    <w:rsid w:val="06651FE4"/>
    <w:rsid w:val="06674F9C"/>
    <w:rsid w:val="0671A038"/>
    <w:rsid w:val="0677E605"/>
    <w:rsid w:val="0684C2F1"/>
    <w:rsid w:val="068BBDD8"/>
    <w:rsid w:val="0699ABB7"/>
    <w:rsid w:val="06AD41E1"/>
    <w:rsid w:val="06C5CD6E"/>
    <w:rsid w:val="0710AD8F"/>
    <w:rsid w:val="072723A6"/>
    <w:rsid w:val="072D59F8"/>
    <w:rsid w:val="07764ACB"/>
    <w:rsid w:val="07B9998D"/>
    <w:rsid w:val="07C0F4F8"/>
    <w:rsid w:val="07D268A6"/>
    <w:rsid w:val="07ECF0D2"/>
    <w:rsid w:val="080F54CE"/>
    <w:rsid w:val="08130525"/>
    <w:rsid w:val="082F0288"/>
    <w:rsid w:val="084EB14F"/>
    <w:rsid w:val="0859D02C"/>
    <w:rsid w:val="0869A2F6"/>
    <w:rsid w:val="086A079D"/>
    <w:rsid w:val="08708CE7"/>
    <w:rsid w:val="087331D2"/>
    <w:rsid w:val="08791B2C"/>
    <w:rsid w:val="08A2348B"/>
    <w:rsid w:val="08A336B5"/>
    <w:rsid w:val="08B836AD"/>
    <w:rsid w:val="08F1A8BB"/>
    <w:rsid w:val="090434FF"/>
    <w:rsid w:val="090C28A4"/>
    <w:rsid w:val="0929EA61"/>
    <w:rsid w:val="09519EAF"/>
    <w:rsid w:val="095D64C7"/>
    <w:rsid w:val="0967AB7C"/>
    <w:rsid w:val="096EAF75"/>
    <w:rsid w:val="098C17AF"/>
    <w:rsid w:val="099BF5DA"/>
    <w:rsid w:val="099DB326"/>
    <w:rsid w:val="09AC6BA9"/>
    <w:rsid w:val="09BC438A"/>
    <w:rsid w:val="09BF338C"/>
    <w:rsid w:val="09E87347"/>
    <w:rsid w:val="09F0A62A"/>
    <w:rsid w:val="09FCB22E"/>
    <w:rsid w:val="09FF6A24"/>
    <w:rsid w:val="0A06BF2B"/>
    <w:rsid w:val="0A21DD9A"/>
    <w:rsid w:val="0A5B1A14"/>
    <w:rsid w:val="0A69882B"/>
    <w:rsid w:val="0A6FDD64"/>
    <w:rsid w:val="0A74C073"/>
    <w:rsid w:val="0A8655DA"/>
    <w:rsid w:val="0A8CAC6D"/>
    <w:rsid w:val="0A95B246"/>
    <w:rsid w:val="0AB4B83F"/>
    <w:rsid w:val="0AD9DBE9"/>
    <w:rsid w:val="0AEF80E9"/>
    <w:rsid w:val="0AF5B0C1"/>
    <w:rsid w:val="0AFD3B03"/>
    <w:rsid w:val="0AFE1BF1"/>
    <w:rsid w:val="0B1666F7"/>
    <w:rsid w:val="0B422574"/>
    <w:rsid w:val="0B4B999F"/>
    <w:rsid w:val="0B7161A2"/>
    <w:rsid w:val="0B82D094"/>
    <w:rsid w:val="0B8DC83C"/>
    <w:rsid w:val="0BCDD00D"/>
    <w:rsid w:val="0BE630AB"/>
    <w:rsid w:val="0BEF2A11"/>
    <w:rsid w:val="0BF0835B"/>
    <w:rsid w:val="0C424A8F"/>
    <w:rsid w:val="0C4C4275"/>
    <w:rsid w:val="0C695C32"/>
    <w:rsid w:val="0C695DFF"/>
    <w:rsid w:val="0C894172"/>
    <w:rsid w:val="0CA3EC9B"/>
    <w:rsid w:val="0CC4066E"/>
    <w:rsid w:val="0D220D16"/>
    <w:rsid w:val="0D26FFE5"/>
    <w:rsid w:val="0D32DFD9"/>
    <w:rsid w:val="0D69A06E"/>
    <w:rsid w:val="0D7516DF"/>
    <w:rsid w:val="0D75AD5C"/>
    <w:rsid w:val="0DDC5D2C"/>
    <w:rsid w:val="0DEAFE08"/>
    <w:rsid w:val="0DED5103"/>
    <w:rsid w:val="0DF3196A"/>
    <w:rsid w:val="0E07E7A0"/>
    <w:rsid w:val="0E09D4C2"/>
    <w:rsid w:val="0E0CDBCC"/>
    <w:rsid w:val="0E26FE3A"/>
    <w:rsid w:val="0E3812E6"/>
    <w:rsid w:val="0E77C844"/>
    <w:rsid w:val="0E800533"/>
    <w:rsid w:val="0E9B851F"/>
    <w:rsid w:val="0EDCA73D"/>
    <w:rsid w:val="0EE8AABC"/>
    <w:rsid w:val="0EEC5D98"/>
    <w:rsid w:val="0F028BBE"/>
    <w:rsid w:val="0F1D7691"/>
    <w:rsid w:val="0F2B70CC"/>
    <w:rsid w:val="0F432104"/>
    <w:rsid w:val="0F46887A"/>
    <w:rsid w:val="0F668719"/>
    <w:rsid w:val="0FD0AC26"/>
    <w:rsid w:val="10434741"/>
    <w:rsid w:val="105C6539"/>
    <w:rsid w:val="10849DA1"/>
    <w:rsid w:val="108BB646"/>
    <w:rsid w:val="108D1F4B"/>
    <w:rsid w:val="10A86403"/>
    <w:rsid w:val="10A97459"/>
    <w:rsid w:val="10BB3D52"/>
    <w:rsid w:val="10BB9CF6"/>
    <w:rsid w:val="10C4A1EA"/>
    <w:rsid w:val="10E4FD3A"/>
    <w:rsid w:val="10F504F6"/>
    <w:rsid w:val="1115BBB2"/>
    <w:rsid w:val="11383EC8"/>
    <w:rsid w:val="113CD523"/>
    <w:rsid w:val="1153BA01"/>
    <w:rsid w:val="11638DE8"/>
    <w:rsid w:val="1186BA99"/>
    <w:rsid w:val="11AD6EBD"/>
    <w:rsid w:val="11E9930B"/>
    <w:rsid w:val="11EC68C7"/>
    <w:rsid w:val="11F74E6A"/>
    <w:rsid w:val="12108872"/>
    <w:rsid w:val="1221D5A9"/>
    <w:rsid w:val="12438C6D"/>
    <w:rsid w:val="125C3378"/>
    <w:rsid w:val="1289559C"/>
    <w:rsid w:val="128F31FC"/>
    <w:rsid w:val="1291EEE8"/>
    <w:rsid w:val="12A49C93"/>
    <w:rsid w:val="12ECFD57"/>
    <w:rsid w:val="12FF5E49"/>
    <w:rsid w:val="131103BC"/>
    <w:rsid w:val="131C887E"/>
    <w:rsid w:val="1326E428"/>
    <w:rsid w:val="137B4181"/>
    <w:rsid w:val="137D3D2C"/>
    <w:rsid w:val="13931ECB"/>
    <w:rsid w:val="1397E4F7"/>
    <w:rsid w:val="1399EC89"/>
    <w:rsid w:val="139C6E7D"/>
    <w:rsid w:val="13ADECE4"/>
    <w:rsid w:val="13B16938"/>
    <w:rsid w:val="13B7A513"/>
    <w:rsid w:val="13BC3E63"/>
    <w:rsid w:val="13CC4F4D"/>
    <w:rsid w:val="13E01281"/>
    <w:rsid w:val="13FBDEB5"/>
    <w:rsid w:val="13FC42AC"/>
    <w:rsid w:val="1425ACCF"/>
    <w:rsid w:val="142CA5B8"/>
    <w:rsid w:val="1430CC42"/>
    <w:rsid w:val="1452FD0E"/>
    <w:rsid w:val="1487DFE0"/>
    <w:rsid w:val="149652DF"/>
    <w:rsid w:val="14C2B489"/>
    <w:rsid w:val="14F65928"/>
    <w:rsid w:val="15267F26"/>
    <w:rsid w:val="152CB6E7"/>
    <w:rsid w:val="1535BCEA"/>
    <w:rsid w:val="153712B5"/>
    <w:rsid w:val="15464828"/>
    <w:rsid w:val="1549BD45"/>
    <w:rsid w:val="155C70E5"/>
    <w:rsid w:val="158028C4"/>
    <w:rsid w:val="15986C2A"/>
    <w:rsid w:val="159F6B2A"/>
    <w:rsid w:val="15AA440E"/>
    <w:rsid w:val="15B40607"/>
    <w:rsid w:val="15C9FC53"/>
    <w:rsid w:val="15E2B1FF"/>
    <w:rsid w:val="16011883"/>
    <w:rsid w:val="160E9F65"/>
    <w:rsid w:val="161EC410"/>
    <w:rsid w:val="16501180"/>
    <w:rsid w:val="1652CBF5"/>
    <w:rsid w:val="168C819E"/>
    <w:rsid w:val="16A1A046"/>
    <w:rsid w:val="16A5CAB9"/>
    <w:rsid w:val="16C5BD18"/>
    <w:rsid w:val="16F343C1"/>
    <w:rsid w:val="172BFF52"/>
    <w:rsid w:val="173830B3"/>
    <w:rsid w:val="174534F6"/>
    <w:rsid w:val="175171B9"/>
    <w:rsid w:val="17CBF419"/>
    <w:rsid w:val="17E3C837"/>
    <w:rsid w:val="17E55B45"/>
    <w:rsid w:val="17F88DE8"/>
    <w:rsid w:val="18039189"/>
    <w:rsid w:val="181EE8F6"/>
    <w:rsid w:val="18310A63"/>
    <w:rsid w:val="18438FFB"/>
    <w:rsid w:val="1844F78B"/>
    <w:rsid w:val="184839F6"/>
    <w:rsid w:val="1855D1D8"/>
    <w:rsid w:val="185CE8BE"/>
    <w:rsid w:val="186918E9"/>
    <w:rsid w:val="187696ED"/>
    <w:rsid w:val="18884E75"/>
    <w:rsid w:val="18DF6EC3"/>
    <w:rsid w:val="18F7F930"/>
    <w:rsid w:val="192C3128"/>
    <w:rsid w:val="193305F8"/>
    <w:rsid w:val="195CC204"/>
    <w:rsid w:val="196C5BAF"/>
    <w:rsid w:val="196EC4FA"/>
    <w:rsid w:val="1993C977"/>
    <w:rsid w:val="19AA0043"/>
    <w:rsid w:val="19CBE397"/>
    <w:rsid w:val="19D403F6"/>
    <w:rsid w:val="19E56EB4"/>
    <w:rsid w:val="1A04E94A"/>
    <w:rsid w:val="1A232DF2"/>
    <w:rsid w:val="1A48B149"/>
    <w:rsid w:val="1A6265CB"/>
    <w:rsid w:val="1A74A0AC"/>
    <w:rsid w:val="1A78546A"/>
    <w:rsid w:val="1AD3C191"/>
    <w:rsid w:val="1AE69836"/>
    <w:rsid w:val="1B16F45D"/>
    <w:rsid w:val="1B2EC34C"/>
    <w:rsid w:val="1B38072B"/>
    <w:rsid w:val="1B525984"/>
    <w:rsid w:val="1B62A9E2"/>
    <w:rsid w:val="1B6506E0"/>
    <w:rsid w:val="1B664FC8"/>
    <w:rsid w:val="1B7CFE99"/>
    <w:rsid w:val="1B81CF6C"/>
    <w:rsid w:val="1B85805B"/>
    <w:rsid w:val="1B865366"/>
    <w:rsid w:val="1BA03AB7"/>
    <w:rsid w:val="1BADF615"/>
    <w:rsid w:val="1BAF823E"/>
    <w:rsid w:val="1BB77697"/>
    <w:rsid w:val="1BBE268D"/>
    <w:rsid w:val="1BDAC9FB"/>
    <w:rsid w:val="1BE3EBA4"/>
    <w:rsid w:val="1C0297F4"/>
    <w:rsid w:val="1C3B16C2"/>
    <w:rsid w:val="1C41FA97"/>
    <w:rsid w:val="1C6F91F2"/>
    <w:rsid w:val="1C733F68"/>
    <w:rsid w:val="1C774B3C"/>
    <w:rsid w:val="1C8F43DB"/>
    <w:rsid w:val="1C92F7F2"/>
    <w:rsid w:val="1CA03734"/>
    <w:rsid w:val="1CB7E602"/>
    <w:rsid w:val="1CBCF3D2"/>
    <w:rsid w:val="1CC1CBCC"/>
    <w:rsid w:val="1CCA93AD"/>
    <w:rsid w:val="1CD5A803"/>
    <w:rsid w:val="1CEF7CEA"/>
    <w:rsid w:val="1D59DA25"/>
    <w:rsid w:val="1D699C69"/>
    <w:rsid w:val="1D6B716E"/>
    <w:rsid w:val="1D769A5C"/>
    <w:rsid w:val="1D9857FC"/>
    <w:rsid w:val="1DA33416"/>
    <w:rsid w:val="1DA5EEE7"/>
    <w:rsid w:val="1DBA30E9"/>
    <w:rsid w:val="1DDB7584"/>
    <w:rsid w:val="1E2DC404"/>
    <w:rsid w:val="1E40DA1D"/>
    <w:rsid w:val="1E55EFEA"/>
    <w:rsid w:val="1E6C02B6"/>
    <w:rsid w:val="1E7706E2"/>
    <w:rsid w:val="1E783EBB"/>
    <w:rsid w:val="1E8E16FD"/>
    <w:rsid w:val="1EC8BC19"/>
    <w:rsid w:val="1ECC5478"/>
    <w:rsid w:val="1F14C148"/>
    <w:rsid w:val="1F1C5968"/>
    <w:rsid w:val="1F1F22CC"/>
    <w:rsid w:val="1F4EB047"/>
    <w:rsid w:val="1F673526"/>
    <w:rsid w:val="1F73C746"/>
    <w:rsid w:val="1F83D389"/>
    <w:rsid w:val="1FAAC693"/>
    <w:rsid w:val="1FBA0959"/>
    <w:rsid w:val="1FC5D589"/>
    <w:rsid w:val="1FCA0781"/>
    <w:rsid w:val="1FCC65D9"/>
    <w:rsid w:val="1FF4FE50"/>
    <w:rsid w:val="1FF9DE7A"/>
    <w:rsid w:val="200FC606"/>
    <w:rsid w:val="2015EFA8"/>
    <w:rsid w:val="201FD206"/>
    <w:rsid w:val="202C2DE6"/>
    <w:rsid w:val="2047A193"/>
    <w:rsid w:val="2059C489"/>
    <w:rsid w:val="205BC034"/>
    <w:rsid w:val="205F1E50"/>
    <w:rsid w:val="206D4236"/>
    <w:rsid w:val="2073231C"/>
    <w:rsid w:val="2078D451"/>
    <w:rsid w:val="20932AD2"/>
    <w:rsid w:val="2097AAF6"/>
    <w:rsid w:val="20AB3118"/>
    <w:rsid w:val="20AE3B1E"/>
    <w:rsid w:val="20E0D6AC"/>
    <w:rsid w:val="20E2633A"/>
    <w:rsid w:val="210548D3"/>
    <w:rsid w:val="214E799D"/>
    <w:rsid w:val="215F86D4"/>
    <w:rsid w:val="21610B31"/>
    <w:rsid w:val="2196BD86"/>
    <w:rsid w:val="2197D840"/>
    <w:rsid w:val="21E619A8"/>
    <w:rsid w:val="21EE3229"/>
    <w:rsid w:val="22108449"/>
    <w:rsid w:val="221DC5DC"/>
    <w:rsid w:val="2221A6F3"/>
    <w:rsid w:val="222DE080"/>
    <w:rsid w:val="224592DF"/>
    <w:rsid w:val="22953D1C"/>
    <w:rsid w:val="229DABD0"/>
    <w:rsid w:val="22AAF2E6"/>
    <w:rsid w:val="22F70F5C"/>
    <w:rsid w:val="23013527"/>
    <w:rsid w:val="23082D8D"/>
    <w:rsid w:val="2321FAC8"/>
    <w:rsid w:val="234D6178"/>
    <w:rsid w:val="236D5D58"/>
    <w:rsid w:val="2371437F"/>
    <w:rsid w:val="237FD349"/>
    <w:rsid w:val="239BD5A5"/>
    <w:rsid w:val="239C952B"/>
    <w:rsid w:val="23B79171"/>
    <w:rsid w:val="23C0043D"/>
    <w:rsid w:val="23DBD9D3"/>
    <w:rsid w:val="23E67FA4"/>
    <w:rsid w:val="240D0551"/>
    <w:rsid w:val="245FEA41"/>
    <w:rsid w:val="24861A5F"/>
    <w:rsid w:val="248D4133"/>
    <w:rsid w:val="248D7A7C"/>
    <w:rsid w:val="24A28EE3"/>
    <w:rsid w:val="24A6A2D9"/>
    <w:rsid w:val="24AC3D5D"/>
    <w:rsid w:val="24BDD6A3"/>
    <w:rsid w:val="24BE226A"/>
    <w:rsid w:val="24D8E001"/>
    <w:rsid w:val="24F24205"/>
    <w:rsid w:val="250A6B1B"/>
    <w:rsid w:val="251DF680"/>
    <w:rsid w:val="2525519E"/>
    <w:rsid w:val="25423561"/>
    <w:rsid w:val="254D50E7"/>
    <w:rsid w:val="25658142"/>
    <w:rsid w:val="257DED9B"/>
    <w:rsid w:val="25885614"/>
    <w:rsid w:val="25A4C54E"/>
    <w:rsid w:val="25A88FAC"/>
    <w:rsid w:val="25B02675"/>
    <w:rsid w:val="25C1555A"/>
    <w:rsid w:val="25C2C2D4"/>
    <w:rsid w:val="25D676AA"/>
    <w:rsid w:val="2625AACE"/>
    <w:rsid w:val="263DBFDC"/>
    <w:rsid w:val="2650598C"/>
    <w:rsid w:val="26B9C6E1"/>
    <w:rsid w:val="26C92761"/>
    <w:rsid w:val="26D9EB35"/>
    <w:rsid w:val="26EF17F3"/>
    <w:rsid w:val="26F5904C"/>
    <w:rsid w:val="26F7389E"/>
    <w:rsid w:val="26F808B2"/>
    <w:rsid w:val="2736A302"/>
    <w:rsid w:val="2755FFC5"/>
    <w:rsid w:val="276F39E5"/>
    <w:rsid w:val="2777928D"/>
    <w:rsid w:val="27B5E95E"/>
    <w:rsid w:val="27C32C61"/>
    <w:rsid w:val="27C3E7C7"/>
    <w:rsid w:val="27D51966"/>
    <w:rsid w:val="28058335"/>
    <w:rsid w:val="280D4654"/>
    <w:rsid w:val="28341560"/>
    <w:rsid w:val="28439A7A"/>
    <w:rsid w:val="284BD7DF"/>
    <w:rsid w:val="2884F1A9"/>
    <w:rsid w:val="288AE854"/>
    <w:rsid w:val="28949879"/>
    <w:rsid w:val="28A47C72"/>
    <w:rsid w:val="28BCB279"/>
    <w:rsid w:val="28BCDD94"/>
    <w:rsid w:val="28FB8BD0"/>
    <w:rsid w:val="29154AB4"/>
    <w:rsid w:val="2924BC3F"/>
    <w:rsid w:val="29368720"/>
    <w:rsid w:val="29501F9A"/>
    <w:rsid w:val="29743C6B"/>
    <w:rsid w:val="297FAE80"/>
    <w:rsid w:val="298DD4E7"/>
    <w:rsid w:val="29ABC5E9"/>
    <w:rsid w:val="29BCA2FC"/>
    <w:rsid w:val="29D67906"/>
    <w:rsid w:val="29DA7786"/>
    <w:rsid w:val="29EB0144"/>
    <w:rsid w:val="29FB6C2D"/>
    <w:rsid w:val="2A1B87CD"/>
    <w:rsid w:val="2A3068DA"/>
    <w:rsid w:val="2A48AB2A"/>
    <w:rsid w:val="2AD5332F"/>
    <w:rsid w:val="2AE08E36"/>
    <w:rsid w:val="2AE0C77F"/>
    <w:rsid w:val="2AF8A80A"/>
    <w:rsid w:val="2AF949AA"/>
    <w:rsid w:val="2AFFA44C"/>
    <w:rsid w:val="2B304DB3"/>
    <w:rsid w:val="2B48CC8A"/>
    <w:rsid w:val="2B81E41A"/>
    <w:rsid w:val="2B965459"/>
    <w:rsid w:val="2BAAC861"/>
    <w:rsid w:val="2BBC5075"/>
    <w:rsid w:val="2BBEA6FE"/>
    <w:rsid w:val="2BC4A0FF"/>
    <w:rsid w:val="2BC9352E"/>
    <w:rsid w:val="2BCC393B"/>
    <w:rsid w:val="2BCC6EC6"/>
    <w:rsid w:val="2BD750A4"/>
    <w:rsid w:val="2BEB99EC"/>
    <w:rsid w:val="2BFF7352"/>
    <w:rsid w:val="2C2F8B54"/>
    <w:rsid w:val="2C45BFCA"/>
    <w:rsid w:val="2C56E27E"/>
    <w:rsid w:val="2CA57109"/>
    <w:rsid w:val="2CC93ACA"/>
    <w:rsid w:val="2CCA50D5"/>
    <w:rsid w:val="2CDB1B61"/>
    <w:rsid w:val="2CE193EA"/>
    <w:rsid w:val="2CE1BFA8"/>
    <w:rsid w:val="2CFD95CB"/>
    <w:rsid w:val="2D022B8D"/>
    <w:rsid w:val="2D3BC7D2"/>
    <w:rsid w:val="2D3EE1B8"/>
    <w:rsid w:val="2D41914B"/>
    <w:rsid w:val="2D86D9CD"/>
    <w:rsid w:val="2D9FCA5A"/>
    <w:rsid w:val="2DA77852"/>
    <w:rsid w:val="2DBD4BA1"/>
    <w:rsid w:val="2E186841"/>
    <w:rsid w:val="2E52A514"/>
    <w:rsid w:val="2E53A69F"/>
    <w:rsid w:val="2E693AD1"/>
    <w:rsid w:val="2E76FD74"/>
    <w:rsid w:val="2E7DF891"/>
    <w:rsid w:val="2EB4D702"/>
    <w:rsid w:val="2EBD4D75"/>
    <w:rsid w:val="2EC0495C"/>
    <w:rsid w:val="2EDC5504"/>
    <w:rsid w:val="2F2A619D"/>
    <w:rsid w:val="2F82726D"/>
    <w:rsid w:val="2F9EA486"/>
    <w:rsid w:val="2FBE1FCC"/>
    <w:rsid w:val="2FC2C694"/>
    <w:rsid w:val="2FC4D52D"/>
    <w:rsid w:val="2FCAB107"/>
    <w:rsid w:val="2FE7F620"/>
    <w:rsid w:val="2FF5E675"/>
    <w:rsid w:val="300245F0"/>
    <w:rsid w:val="30024C02"/>
    <w:rsid w:val="30935E1D"/>
    <w:rsid w:val="30C2C8C9"/>
    <w:rsid w:val="313A74E7"/>
    <w:rsid w:val="3146A468"/>
    <w:rsid w:val="314C7E94"/>
    <w:rsid w:val="314E955A"/>
    <w:rsid w:val="314EE8AE"/>
    <w:rsid w:val="3154B7FD"/>
    <w:rsid w:val="315F93E3"/>
    <w:rsid w:val="317B25D8"/>
    <w:rsid w:val="31860C05"/>
    <w:rsid w:val="3189BD2C"/>
    <w:rsid w:val="319588AD"/>
    <w:rsid w:val="31A26CA0"/>
    <w:rsid w:val="31DA9CB5"/>
    <w:rsid w:val="31ED2B24"/>
    <w:rsid w:val="31FAC2C2"/>
    <w:rsid w:val="3202E87E"/>
    <w:rsid w:val="32177B26"/>
    <w:rsid w:val="323F72B1"/>
    <w:rsid w:val="325F76C1"/>
    <w:rsid w:val="3260621A"/>
    <w:rsid w:val="326EF61D"/>
    <w:rsid w:val="32764343"/>
    <w:rsid w:val="328B3E19"/>
    <w:rsid w:val="32B768A5"/>
    <w:rsid w:val="32C452C4"/>
    <w:rsid w:val="32C88FA6"/>
    <w:rsid w:val="32D5F905"/>
    <w:rsid w:val="32DD0018"/>
    <w:rsid w:val="32F2581D"/>
    <w:rsid w:val="33040708"/>
    <w:rsid w:val="3333B47A"/>
    <w:rsid w:val="3370445E"/>
    <w:rsid w:val="338E6A30"/>
    <w:rsid w:val="339A3840"/>
    <w:rsid w:val="33D3CD90"/>
    <w:rsid w:val="33D4D17C"/>
    <w:rsid w:val="33D7194A"/>
    <w:rsid w:val="33DE63C5"/>
    <w:rsid w:val="34032E5E"/>
    <w:rsid w:val="3407CC3D"/>
    <w:rsid w:val="341175EA"/>
    <w:rsid w:val="3414BF21"/>
    <w:rsid w:val="3497C8B0"/>
    <w:rsid w:val="34B27564"/>
    <w:rsid w:val="34D58E8A"/>
    <w:rsid w:val="34DE59A9"/>
    <w:rsid w:val="35072106"/>
    <w:rsid w:val="3521C4D6"/>
    <w:rsid w:val="35294CBA"/>
    <w:rsid w:val="3546EAC6"/>
    <w:rsid w:val="3557126C"/>
    <w:rsid w:val="3585B819"/>
    <w:rsid w:val="359865C4"/>
    <w:rsid w:val="35A9B032"/>
    <w:rsid w:val="35B06E56"/>
    <w:rsid w:val="35C9B5B7"/>
    <w:rsid w:val="35EB13E3"/>
    <w:rsid w:val="35EF0967"/>
    <w:rsid w:val="36124313"/>
    <w:rsid w:val="361FC845"/>
    <w:rsid w:val="36290937"/>
    <w:rsid w:val="363ED8BF"/>
    <w:rsid w:val="3673BB63"/>
    <w:rsid w:val="3684C3C4"/>
    <w:rsid w:val="36B4238A"/>
    <w:rsid w:val="370075F0"/>
    <w:rsid w:val="3730F99C"/>
    <w:rsid w:val="3747E342"/>
    <w:rsid w:val="37FF819C"/>
    <w:rsid w:val="38286C5C"/>
    <w:rsid w:val="382E9213"/>
    <w:rsid w:val="3832EEC3"/>
    <w:rsid w:val="383A92C7"/>
    <w:rsid w:val="389E8C57"/>
    <w:rsid w:val="38D3B846"/>
    <w:rsid w:val="38F69906"/>
    <w:rsid w:val="38FE58FD"/>
    <w:rsid w:val="391C4FB6"/>
    <w:rsid w:val="3926709D"/>
    <w:rsid w:val="392C28BC"/>
    <w:rsid w:val="3941B942"/>
    <w:rsid w:val="394A93BD"/>
    <w:rsid w:val="39542E9E"/>
    <w:rsid w:val="3956D4C6"/>
    <w:rsid w:val="397806E5"/>
    <w:rsid w:val="397D377D"/>
    <w:rsid w:val="39822621"/>
    <w:rsid w:val="3986184C"/>
    <w:rsid w:val="39A2C23C"/>
    <w:rsid w:val="39AC60B9"/>
    <w:rsid w:val="39CC9FBB"/>
    <w:rsid w:val="39F89E27"/>
    <w:rsid w:val="3A2DA38A"/>
    <w:rsid w:val="3A339579"/>
    <w:rsid w:val="3A44CA05"/>
    <w:rsid w:val="3A51E93A"/>
    <w:rsid w:val="3A791A33"/>
    <w:rsid w:val="3A926967"/>
    <w:rsid w:val="3AF4F640"/>
    <w:rsid w:val="3B136D33"/>
    <w:rsid w:val="3B1ACD50"/>
    <w:rsid w:val="3B2699CD"/>
    <w:rsid w:val="3B2A66D1"/>
    <w:rsid w:val="3B309F72"/>
    <w:rsid w:val="3B3557D9"/>
    <w:rsid w:val="3B656471"/>
    <w:rsid w:val="3BA861FF"/>
    <w:rsid w:val="3BCEB665"/>
    <w:rsid w:val="3BF0F274"/>
    <w:rsid w:val="3BF6E583"/>
    <w:rsid w:val="3C4D1DD9"/>
    <w:rsid w:val="3CB66468"/>
    <w:rsid w:val="3D020336"/>
    <w:rsid w:val="3D097433"/>
    <w:rsid w:val="3D313037"/>
    <w:rsid w:val="3D63CB14"/>
    <w:rsid w:val="3D668A8C"/>
    <w:rsid w:val="3D7DF29B"/>
    <w:rsid w:val="3D8815C8"/>
    <w:rsid w:val="3DC10F58"/>
    <w:rsid w:val="3DFF99DF"/>
    <w:rsid w:val="3E048485"/>
    <w:rsid w:val="3E04F48C"/>
    <w:rsid w:val="3E111AFB"/>
    <w:rsid w:val="3E1729D0"/>
    <w:rsid w:val="3E4B7808"/>
    <w:rsid w:val="3E4C65ED"/>
    <w:rsid w:val="3E663578"/>
    <w:rsid w:val="3EBAD7F5"/>
    <w:rsid w:val="3ED45CA2"/>
    <w:rsid w:val="3EFDCFFD"/>
    <w:rsid w:val="3EFF9B75"/>
    <w:rsid w:val="3F317AFA"/>
    <w:rsid w:val="3F3A7CA2"/>
    <w:rsid w:val="3F583D8F"/>
    <w:rsid w:val="3F80D27F"/>
    <w:rsid w:val="3FA6001C"/>
    <w:rsid w:val="3FAEA217"/>
    <w:rsid w:val="3FB2B8A7"/>
    <w:rsid w:val="3FC7D182"/>
    <w:rsid w:val="3FE002E2"/>
    <w:rsid w:val="404426B7"/>
    <w:rsid w:val="4053C4DB"/>
    <w:rsid w:val="40835341"/>
    <w:rsid w:val="4085B66E"/>
    <w:rsid w:val="409445B7"/>
    <w:rsid w:val="4097506C"/>
    <w:rsid w:val="40CCE5F0"/>
    <w:rsid w:val="40D05A75"/>
    <w:rsid w:val="40D673EF"/>
    <w:rsid w:val="40E19222"/>
    <w:rsid w:val="4101AE15"/>
    <w:rsid w:val="41165646"/>
    <w:rsid w:val="411FFFFE"/>
    <w:rsid w:val="4126701C"/>
    <w:rsid w:val="413C541E"/>
    <w:rsid w:val="4169F95F"/>
    <w:rsid w:val="41A1429E"/>
    <w:rsid w:val="41A26890"/>
    <w:rsid w:val="41A8F061"/>
    <w:rsid w:val="41DF7A7A"/>
    <w:rsid w:val="41EDD7EA"/>
    <w:rsid w:val="420EF863"/>
    <w:rsid w:val="4219BDA8"/>
    <w:rsid w:val="4227DC4E"/>
    <w:rsid w:val="423DB8F1"/>
    <w:rsid w:val="4259498E"/>
    <w:rsid w:val="42687DB2"/>
    <w:rsid w:val="429D23DB"/>
    <w:rsid w:val="42A1CAD6"/>
    <w:rsid w:val="42A61084"/>
    <w:rsid w:val="42CB2A42"/>
    <w:rsid w:val="42E2EB6E"/>
    <w:rsid w:val="42E6C856"/>
    <w:rsid w:val="433E0CD9"/>
    <w:rsid w:val="437C4760"/>
    <w:rsid w:val="4390DB0A"/>
    <w:rsid w:val="4397C69B"/>
    <w:rsid w:val="43A7B2B5"/>
    <w:rsid w:val="43DCCD3E"/>
    <w:rsid w:val="43E6E325"/>
    <w:rsid w:val="442DC220"/>
    <w:rsid w:val="4435F736"/>
    <w:rsid w:val="4438F43C"/>
    <w:rsid w:val="445FEA55"/>
    <w:rsid w:val="447C892A"/>
    <w:rsid w:val="449679E2"/>
    <w:rsid w:val="449B20AA"/>
    <w:rsid w:val="449F1870"/>
    <w:rsid w:val="44B81245"/>
    <w:rsid w:val="44B92AFB"/>
    <w:rsid w:val="44D0930B"/>
    <w:rsid w:val="44E96D15"/>
    <w:rsid w:val="44F29E1D"/>
    <w:rsid w:val="44FF68FD"/>
    <w:rsid w:val="45045048"/>
    <w:rsid w:val="45334D4C"/>
    <w:rsid w:val="454CD0C6"/>
    <w:rsid w:val="4578599B"/>
    <w:rsid w:val="45824F4F"/>
    <w:rsid w:val="4624D8AA"/>
    <w:rsid w:val="4636F10B"/>
    <w:rsid w:val="463C055C"/>
    <w:rsid w:val="46472F97"/>
    <w:rsid w:val="464EF54B"/>
    <w:rsid w:val="4663A80B"/>
    <w:rsid w:val="4674B3C1"/>
    <w:rsid w:val="467A6E16"/>
    <w:rsid w:val="46880554"/>
    <w:rsid w:val="46896250"/>
    <w:rsid w:val="46A020A9"/>
    <w:rsid w:val="46B34B12"/>
    <w:rsid w:val="46E5A0F5"/>
    <w:rsid w:val="46E7642F"/>
    <w:rsid w:val="46FBF014"/>
    <w:rsid w:val="472B3D52"/>
    <w:rsid w:val="472C7FAE"/>
    <w:rsid w:val="472CFD32"/>
    <w:rsid w:val="47637176"/>
    <w:rsid w:val="47848BA2"/>
    <w:rsid w:val="478CB4A2"/>
    <w:rsid w:val="47A31DB3"/>
    <w:rsid w:val="47AA7299"/>
    <w:rsid w:val="47ACFD85"/>
    <w:rsid w:val="47BD9743"/>
    <w:rsid w:val="47CDD0D0"/>
    <w:rsid w:val="47CE1AA4"/>
    <w:rsid w:val="47D67309"/>
    <w:rsid w:val="47EFC17C"/>
    <w:rsid w:val="47F89308"/>
    <w:rsid w:val="47FF786C"/>
    <w:rsid w:val="4806C2E7"/>
    <w:rsid w:val="48117DFC"/>
    <w:rsid w:val="4827C442"/>
    <w:rsid w:val="487EAE73"/>
    <w:rsid w:val="48A3462E"/>
    <w:rsid w:val="48B008E7"/>
    <w:rsid w:val="48B9EA6F"/>
    <w:rsid w:val="48C64E74"/>
    <w:rsid w:val="48CBD5AD"/>
    <w:rsid w:val="49096859"/>
    <w:rsid w:val="4915D068"/>
    <w:rsid w:val="491DECA8"/>
    <w:rsid w:val="4923626D"/>
    <w:rsid w:val="4937ECCA"/>
    <w:rsid w:val="4948FFD5"/>
    <w:rsid w:val="495C796C"/>
    <w:rsid w:val="496E91CD"/>
    <w:rsid w:val="497B23F0"/>
    <w:rsid w:val="498B91DD"/>
    <w:rsid w:val="4A2AC046"/>
    <w:rsid w:val="4A2F0DAA"/>
    <w:rsid w:val="4A3DF222"/>
    <w:rsid w:val="4A43271A"/>
    <w:rsid w:val="4A53CB44"/>
    <w:rsid w:val="4A78FE91"/>
    <w:rsid w:val="4A8EE009"/>
    <w:rsid w:val="4AA7D22B"/>
    <w:rsid w:val="4ACBA19E"/>
    <w:rsid w:val="4AD5620D"/>
    <w:rsid w:val="4AEDE273"/>
    <w:rsid w:val="4B0F767F"/>
    <w:rsid w:val="4B1B3CEE"/>
    <w:rsid w:val="4B37192E"/>
    <w:rsid w:val="4B51E288"/>
    <w:rsid w:val="4B6231A8"/>
    <w:rsid w:val="4B88A0D5"/>
    <w:rsid w:val="4B8DD965"/>
    <w:rsid w:val="4BD07DFA"/>
    <w:rsid w:val="4BD2D0A4"/>
    <w:rsid w:val="4BD9C283"/>
    <w:rsid w:val="4BE41F3A"/>
    <w:rsid w:val="4C2B8FA0"/>
    <w:rsid w:val="4C53ED7C"/>
    <w:rsid w:val="4C6771FF"/>
    <w:rsid w:val="4CAB46E0"/>
    <w:rsid w:val="4CFACAB0"/>
    <w:rsid w:val="4CFCE188"/>
    <w:rsid w:val="4CFD34ED"/>
    <w:rsid w:val="4CFFBD75"/>
    <w:rsid w:val="4D4B7040"/>
    <w:rsid w:val="4D4F0C5D"/>
    <w:rsid w:val="4D7FEF9B"/>
    <w:rsid w:val="4D807BCE"/>
    <w:rsid w:val="4D85B305"/>
    <w:rsid w:val="4D91BDB8"/>
    <w:rsid w:val="4D954EBA"/>
    <w:rsid w:val="4DBDDF83"/>
    <w:rsid w:val="4DC9259F"/>
    <w:rsid w:val="4DEF2373"/>
    <w:rsid w:val="4DF01B32"/>
    <w:rsid w:val="4E232C82"/>
    <w:rsid w:val="4E36F7D7"/>
    <w:rsid w:val="4E550403"/>
    <w:rsid w:val="4E68950F"/>
    <w:rsid w:val="4E79F108"/>
    <w:rsid w:val="4E7A9A21"/>
    <w:rsid w:val="4E7C904B"/>
    <w:rsid w:val="4E8B09EB"/>
    <w:rsid w:val="4E8BD161"/>
    <w:rsid w:val="4E988B8A"/>
    <w:rsid w:val="4EAEF00F"/>
    <w:rsid w:val="4EEAB47C"/>
    <w:rsid w:val="4EF0380D"/>
    <w:rsid w:val="4F16983D"/>
    <w:rsid w:val="4F18FD5F"/>
    <w:rsid w:val="4F2DD85D"/>
    <w:rsid w:val="4F3873BE"/>
    <w:rsid w:val="4F3C3668"/>
    <w:rsid w:val="4FBC02E9"/>
    <w:rsid w:val="4FBE67B7"/>
    <w:rsid w:val="4FE2E7A2"/>
    <w:rsid w:val="5007F79E"/>
    <w:rsid w:val="500A8A51"/>
    <w:rsid w:val="5036EF65"/>
    <w:rsid w:val="503D6FB1"/>
    <w:rsid w:val="503E0D1C"/>
    <w:rsid w:val="506479AC"/>
    <w:rsid w:val="50814E4B"/>
    <w:rsid w:val="50A1F26F"/>
    <w:rsid w:val="50CB39B7"/>
    <w:rsid w:val="50D79CB6"/>
    <w:rsid w:val="50DEC38A"/>
    <w:rsid w:val="50EEFAFB"/>
    <w:rsid w:val="50F99BE3"/>
    <w:rsid w:val="51363A2F"/>
    <w:rsid w:val="514F8F72"/>
    <w:rsid w:val="5193EEE9"/>
    <w:rsid w:val="51981696"/>
    <w:rsid w:val="519ED33E"/>
    <w:rsid w:val="51A12A1A"/>
    <w:rsid w:val="51A2697A"/>
    <w:rsid w:val="51A65AB2"/>
    <w:rsid w:val="51B70399"/>
    <w:rsid w:val="51C2AAAD"/>
    <w:rsid w:val="51C8C80C"/>
    <w:rsid w:val="51DA5D4C"/>
    <w:rsid w:val="51DD726C"/>
    <w:rsid w:val="51F7E259"/>
    <w:rsid w:val="51FCCC3F"/>
    <w:rsid w:val="5205382A"/>
    <w:rsid w:val="5213BAA6"/>
    <w:rsid w:val="521D90BD"/>
    <w:rsid w:val="521F17F3"/>
    <w:rsid w:val="5227AE2B"/>
    <w:rsid w:val="5245A964"/>
    <w:rsid w:val="5249E09C"/>
    <w:rsid w:val="5261A4D7"/>
    <w:rsid w:val="5275D9CA"/>
    <w:rsid w:val="52988711"/>
    <w:rsid w:val="529C99CE"/>
    <w:rsid w:val="53283E84"/>
    <w:rsid w:val="533A3D6B"/>
    <w:rsid w:val="53A70A98"/>
    <w:rsid w:val="53BC21B4"/>
    <w:rsid w:val="53E04CD3"/>
    <w:rsid w:val="540AB88F"/>
    <w:rsid w:val="5415B5AC"/>
    <w:rsid w:val="5416644C"/>
    <w:rsid w:val="542E1584"/>
    <w:rsid w:val="54380073"/>
    <w:rsid w:val="5444505B"/>
    <w:rsid w:val="54616C64"/>
    <w:rsid w:val="5470E88E"/>
    <w:rsid w:val="54859420"/>
    <w:rsid w:val="549073A0"/>
    <w:rsid w:val="54A89D8D"/>
    <w:rsid w:val="54AE74B7"/>
    <w:rsid w:val="54B2585E"/>
    <w:rsid w:val="54DDF27F"/>
    <w:rsid w:val="54F1F65A"/>
    <w:rsid w:val="550A26E3"/>
    <w:rsid w:val="552DCBB7"/>
    <w:rsid w:val="552FAD76"/>
    <w:rsid w:val="553A0D99"/>
    <w:rsid w:val="5553B786"/>
    <w:rsid w:val="55756392"/>
    <w:rsid w:val="558A61C6"/>
    <w:rsid w:val="559EAADA"/>
    <w:rsid w:val="55BFB139"/>
    <w:rsid w:val="55C805BC"/>
    <w:rsid w:val="55D3112B"/>
    <w:rsid w:val="55E4263D"/>
    <w:rsid w:val="55F7B2AE"/>
    <w:rsid w:val="55FEF96E"/>
    <w:rsid w:val="56095D97"/>
    <w:rsid w:val="5630AB8E"/>
    <w:rsid w:val="56425792"/>
    <w:rsid w:val="565CE26A"/>
    <w:rsid w:val="565E3869"/>
    <w:rsid w:val="56714C5F"/>
    <w:rsid w:val="56AC7FCE"/>
    <w:rsid w:val="56AEE7BD"/>
    <w:rsid w:val="56DEAB5A"/>
    <w:rsid w:val="56EEF4DA"/>
    <w:rsid w:val="5725EB25"/>
    <w:rsid w:val="5742FA1B"/>
    <w:rsid w:val="57456577"/>
    <w:rsid w:val="577482EF"/>
    <w:rsid w:val="577D4110"/>
    <w:rsid w:val="578E47A7"/>
    <w:rsid w:val="57C2AB4F"/>
    <w:rsid w:val="57E61579"/>
    <w:rsid w:val="580B8B89"/>
    <w:rsid w:val="5826451D"/>
    <w:rsid w:val="584F3707"/>
    <w:rsid w:val="5854C1F9"/>
    <w:rsid w:val="586490EE"/>
    <w:rsid w:val="589A4011"/>
    <w:rsid w:val="58D80161"/>
    <w:rsid w:val="58DCA829"/>
    <w:rsid w:val="58E1BBC8"/>
    <w:rsid w:val="5907B6A5"/>
    <w:rsid w:val="59156B33"/>
    <w:rsid w:val="5979F854"/>
    <w:rsid w:val="598BD8E0"/>
    <w:rsid w:val="59A0B241"/>
    <w:rsid w:val="59A9E523"/>
    <w:rsid w:val="59B13D76"/>
    <w:rsid w:val="59F6D202"/>
    <w:rsid w:val="5A08C112"/>
    <w:rsid w:val="5A18D934"/>
    <w:rsid w:val="5A19E289"/>
    <w:rsid w:val="5A23F500"/>
    <w:rsid w:val="5A26B49D"/>
    <w:rsid w:val="5A394601"/>
    <w:rsid w:val="5A643528"/>
    <w:rsid w:val="5A721BFD"/>
    <w:rsid w:val="5A78788A"/>
    <w:rsid w:val="5AA3EA6F"/>
    <w:rsid w:val="5B048DDE"/>
    <w:rsid w:val="5B0B08FC"/>
    <w:rsid w:val="5B0E9EFD"/>
    <w:rsid w:val="5B0EB60A"/>
    <w:rsid w:val="5B5DE5DF"/>
    <w:rsid w:val="5B9B6E7A"/>
    <w:rsid w:val="5BDB2848"/>
    <w:rsid w:val="5BF679C6"/>
    <w:rsid w:val="5BF8F274"/>
    <w:rsid w:val="5C18209E"/>
    <w:rsid w:val="5C22C72C"/>
    <w:rsid w:val="5C322840"/>
    <w:rsid w:val="5C445D25"/>
    <w:rsid w:val="5C529E01"/>
    <w:rsid w:val="5C5F38D0"/>
    <w:rsid w:val="5C60DA50"/>
    <w:rsid w:val="5CAA195B"/>
    <w:rsid w:val="5CB38A6E"/>
    <w:rsid w:val="5CB9869C"/>
    <w:rsid w:val="5D091B01"/>
    <w:rsid w:val="5D155828"/>
    <w:rsid w:val="5D20073A"/>
    <w:rsid w:val="5D4DA8C3"/>
    <w:rsid w:val="5D50E425"/>
    <w:rsid w:val="5D6B54E5"/>
    <w:rsid w:val="5D6DB134"/>
    <w:rsid w:val="5D795556"/>
    <w:rsid w:val="5DEF4E5E"/>
    <w:rsid w:val="5DF4F7D8"/>
    <w:rsid w:val="5E4A0C27"/>
    <w:rsid w:val="5E4A6F70"/>
    <w:rsid w:val="5E5879DF"/>
    <w:rsid w:val="5EB12889"/>
    <w:rsid w:val="5EB8E054"/>
    <w:rsid w:val="5ED49505"/>
    <w:rsid w:val="5EE2EB68"/>
    <w:rsid w:val="5EE426DE"/>
    <w:rsid w:val="5F5D2EEB"/>
    <w:rsid w:val="5F717DE0"/>
    <w:rsid w:val="5F85BBDD"/>
    <w:rsid w:val="5FC5E8CE"/>
    <w:rsid w:val="5FC90564"/>
    <w:rsid w:val="5FD46EFE"/>
    <w:rsid w:val="5FD6BFF2"/>
    <w:rsid w:val="5FF44A40"/>
    <w:rsid w:val="60057B1E"/>
    <w:rsid w:val="6011130E"/>
    <w:rsid w:val="60182EA5"/>
    <w:rsid w:val="60207EFA"/>
    <w:rsid w:val="602653D3"/>
    <w:rsid w:val="60507ABA"/>
    <w:rsid w:val="6066F702"/>
    <w:rsid w:val="606C6543"/>
    <w:rsid w:val="608FD121"/>
    <w:rsid w:val="60BBAA7A"/>
    <w:rsid w:val="60C0275B"/>
    <w:rsid w:val="60E94B07"/>
    <w:rsid w:val="60EBAEA1"/>
    <w:rsid w:val="6103F7BB"/>
    <w:rsid w:val="61056381"/>
    <w:rsid w:val="61145C90"/>
    <w:rsid w:val="611B23CD"/>
    <w:rsid w:val="612780A7"/>
    <w:rsid w:val="612D49DB"/>
    <w:rsid w:val="6130E0A8"/>
    <w:rsid w:val="61512C7C"/>
    <w:rsid w:val="6157617F"/>
    <w:rsid w:val="616C7444"/>
    <w:rsid w:val="617AECD4"/>
    <w:rsid w:val="61A55003"/>
    <w:rsid w:val="61D758B9"/>
    <w:rsid w:val="61E12398"/>
    <w:rsid w:val="61E2D4F8"/>
    <w:rsid w:val="61FE4012"/>
    <w:rsid w:val="620B5278"/>
    <w:rsid w:val="620BF094"/>
    <w:rsid w:val="62245548"/>
    <w:rsid w:val="62408BBE"/>
    <w:rsid w:val="62417A5C"/>
    <w:rsid w:val="6263C56A"/>
    <w:rsid w:val="627BE49F"/>
    <w:rsid w:val="6288C5AB"/>
    <w:rsid w:val="6289EF3C"/>
    <w:rsid w:val="629E3806"/>
    <w:rsid w:val="62B53392"/>
    <w:rsid w:val="62BFF3B7"/>
    <w:rsid w:val="62CC6B1F"/>
    <w:rsid w:val="62EA4A9F"/>
    <w:rsid w:val="63003282"/>
    <w:rsid w:val="630A72AD"/>
    <w:rsid w:val="63209567"/>
    <w:rsid w:val="6356377F"/>
    <w:rsid w:val="6357C878"/>
    <w:rsid w:val="635DF495"/>
    <w:rsid w:val="636B8B94"/>
    <w:rsid w:val="636FB165"/>
    <w:rsid w:val="6375AA3E"/>
    <w:rsid w:val="6378CEEB"/>
    <w:rsid w:val="637EA559"/>
    <w:rsid w:val="63877606"/>
    <w:rsid w:val="63885E23"/>
    <w:rsid w:val="63B69748"/>
    <w:rsid w:val="63C5DE4C"/>
    <w:rsid w:val="640D426F"/>
    <w:rsid w:val="6446C72C"/>
    <w:rsid w:val="64731F92"/>
    <w:rsid w:val="6482894D"/>
    <w:rsid w:val="648EBF57"/>
    <w:rsid w:val="64900BA5"/>
    <w:rsid w:val="64A5D801"/>
    <w:rsid w:val="64C260EC"/>
    <w:rsid w:val="64E16FF8"/>
    <w:rsid w:val="64E8C5E8"/>
    <w:rsid w:val="650D0D00"/>
    <w:rsid w:val="6536C235"/>
    <w:rsid w:val="6536F4A1"/>
    <w:rsid w:val="653F932D"/>
    <w:rsid w:val="654EB418"/>
    <w:rsid w:val="655CE887"/>
    <w:rsid w:val="657776D4"/>
    <w:rsid w:val="6585CA9F"/>
    <w:rsid w:val="65871CC4"/>
    <w:rsid w:val="65EE8B17"/>
    <w:rsid w:val="65F20A15"/>
    <w:rsid w:val="660F6376"/>
    <w:rsid w:val="66133D38"/>
    <w:rsid w:val="66282774"/>
    <w:rsid w:val="6638511E"/>
    <w:rsid w:val="6646D563"/>
    <w:rsid w:val="666A0591"/>
    <w:rsid w:val="667407BF"/>
    <w:rsid w:val="66772D54"/>
    <w:rsid w:val="66857C4B"/>
    <w:rsid w:val="66AC422D"/>
    <w:rsid w:val="66ADDBF1"/>
    <w:rsid w:val="66C9E076"/>
    <w:rsid w:val="66D0A7F4"/>
    <w:rsid w:val="66D0D05D"/>
    <w:rsid w:val="66FD7C0D"/>
    <w:rsid w:val="67042E37"/>
    <w:rsid w:val="672BBAD4"/>
    <w:rsid w:val="6740579F"/>
    <w:rsid w:val="6744256E"/>
    <w:rsid w:val="6746AB95"/>
    <w:rsid w:val="6751F9A5"/>
    <w:rsid w:val="678E170B"/>
    <w:rsid w:val="67BC11DC"/>
    <w:rsid w:val="67DA0D15"/>
    <w:rsid w:val="67E18338"/>
    <w:rsid w:val="67E4C15D"/>
    <w:rsid w:val="67F0C31E"/>
    <w:rsid w:val="68149B76"/>
    <w:rsid w:val="6850AB1A"/>
    <w:rsid w:val="6873B0D4"/>
    <w:rsid w:val="6876F24D"/>
    <w:rsid w:val="68ABD510"/>
    <w:rsid w:val="68B5D0E6"/>
    <w:rsid w:val="68DC1C9F"/>
    <w:rsid w:val="68DFF5CF"/>
    <w:rsid w:val="6936E2F7"/>
    <w:rsid w:val="6943A3A2"/>
    <w:rsid w:val="694690B5"/>
    <w:rsid w:val="698CAB73"/>
    <w:rsid w:val="69961749"/>
    <w:rsid w:val="69977CB6"/>
    <w:rsid w:val="69C6FE71"/>
    <w:rsid w:val="69F8597F"/>
    <w:rsid w:val="6A0A3358"/>
    <w:rsid w:val="6A0B7506"/>
    <w:rsid w:val="6A0BE6CA"/>
    <w:rsid w:val="6A351FD0"/>
    <w:rsid w:val="6A3CD33E"/>
    <w:rsid w:val="6A421450"/>
    <w:rsid w:val="6A4AE0DC"/>
    <w:rsid w:val="6A52E58B"/>
    <w:rsid w:val="6A55CA51"/>
    <w:rsid w:val="6A637E47"/>
    <w:rsid w:val="6A69A919"/>
    <w:rsid w:val="6A7C84EA"/>
    <w:rsid w:val="6A7E2213"/>
    <w:rsid w:val="6A8917CE"/>
    <w:rsid w:val="6ABFAF96"/>
    <w:rsid w:val="6AC42C14"/>
    <w:rsid w:val="6AC539BE"/>
    <w:rsid w:val="6AF68C91"/>
    <w:rsid w:val="6B229F2E"/>
    <w:rsid w:val="6B262726"/>
    <w:rsid w:val="6B29013E"/>
    <w:rsid w:val="6B3E84FA"/>
    <w:rsid w:val="6B51B1E8"/>
    <w:rsid w:val="6B7A7A27"/>
    <w:rsid w:val="6B9D8B05"/>
    <w:rsid w:val="6BA5C34F"/>
    <w:rsid w:val="6BA7F37A"/>
    <w:rsid w:val="6BD254D6"/>
    <w:rsid w:val="6BEF891C"/>
    <w:rsid w:val="6BF5405B"/>
    <w:rsid w:val="6BFD304C"/>
    <w:rsid w:val="6C162787"/>
    <w:rsid w:val="6C2386F1"/>
    <w:rsid w:val="6C4319C4"/>
    <w:rsid w:val="6C4EFB94"/>
    <w:rsid w:val="6C60EC1D"/>
    <w:rsid w:val="6C788599"/>
    <w:rsid w:val="6C8523A7"/>
    <w:rsid w:val="6C8A12CE"/>
    <w:rsid w:val="6C8F82FF"/>
    <w:rsid w:val="6CB68209"/>
    <w:rsid w:val="6CBD5A7B"/>
    <w:rsid w:val="6CBE6F8F"/>
    <w:rsid w:val="6CD006BC"/>
    <w:rsid w:val="6D0BD354"/>
    <w:rsid w:val="6D21F8E6"/>
    <w:rsid w:val="6D226C02"/>
    <w:rsid w:val="6DBE86C3"/>
    <w:rsid w:val="6DD49B21"/>
    <w:rsid w:val="6DFA2F51"/>
    <w:rsid w:val="6E0676AD"/>
    <w:rsid w:val="6E0A93E4"/>
    <w:rsid w:val="6E411094"/>
    <w:rsid w:val="6E4D88EC"/>
    <w:rsid w:val="6E5A3FF0"/>
    <w:rsid w:val="6E608385"/>
    <w:rsid w:val="6E62413E"/>
    <w:rsid w:val="6EBA9E13"/>
    <w:rsid w:val="6ED8E3B7"/>
    <w:rsid w:val="6EEC5F09"/>
    <w:rsid w:val="6EFAE528"/>
    <w:rsid w:val="6F09F598"/>
    <w:rsid w:val="6F2792E5"/>
    <w:rsid w:val="6F2FA81A"/>
    <w:rsid w:val="6F4C2BD8"/>
    <w:rsid w:val="6F5E5B16"/>
    <w:rsid w:val="6F780502"/>
    <w:rsid w:val="6F863C59"/>
    <w:rsid w:val="6F864501"/>
    <w:rsid w:val="6FC57185"/>
    <w:rsid w:val="6FCACC6E"/>
    <w:rsid w:val="6FFE119F"/>
    <w:rsid w:val="70054BAC"/>
    <w:rsid w:val="701D1798"/>
    <w:rsid w:val="70380145"/>
    <w:rsid w:val="70380304"/>
    <w:rsid w:val="7045FAA6"/>
    <w:rsid w:val="704A0E9C"/>
    <w:rsid w:val="7075ADB9"/>
    <w:rsid w:val="70A69056"/>
    <w:rsid w:val="70A7355D"/>
    <w:rsid w:val="70B908BE"/>
    <w:rsid w:val="70D29D1A"/>
    <w:rsid w:val="70D5FB36"/>
    <w:rsid w:val="7108ED05"/>
    <w:rsid w:val="71120713"/>
    <w:rsid w:val="714234A6"/>
    <w:rsid w:val="7178B855"/>
    <w:rsid w:val="7178D918"/>
    <w:rsid w:val="7191E0B2"/>
    <w:rsid w:val="71930ACA"/>
    <w:rsid w:val="71998278"/>
    <w:rsid w:val="71B97926"/>
    <w:rsid w:val="71D267AB"/>
    <w:rsid w:val="71D79B88"/>
    <w:rsid w:val="71F5787E"/>
    <w:rsid w:val="72044961"/>
    <w:rsid w:val="721FF88D"/>
    <w:rsid w:val="72687B1C"/>
    <w:rsid w:val="72765B01"/>
    <w:rsid w:val="727DB61F"/>
    <w:rsid w:val="7285E422"/>
    <w:rsid w:val="72862E94"/>
    <w:rsid w:val="72ABAC13"/>
    <w:rsid w:val="72B26AFE"/>
    <w:rsid w:val="72B36658"/>
    <w:rsid w:val="72C54031"/>
    <w:rsid w:val="72D5DDCB"/>
    <w:rsid w:val="72D98595"/>
    <w:rsid w:val="72D9A1F0"/>
    <w:rsid w:val="72DD7638"/>
    <w:rsid w:val="72DE0507"/>
    <w:rsid w:val="72E59970"/>
    <w:rsid w:val="731488B6"/>
    <w:rsid w:val="73357CCB"/>
    <w:rsid w:val="736A9C5C"/>
    <w:rsid w:val="737269B8"/>
    <w:rsid w:val="737D9B68"/>
    <w:rsid w:val="738497AA"/>
    <w:rsid w:val="73AAE083"/>
    <w:rsid w:val="73BE3952"/>
    <w:rsid w:val="73CC3D60"/>
    <w:rsid w:val="73FB0408"/>
    <w:rsid w:val="73FBF4F0"/>
    <w:rsid w:val="740D9BF8"/>
    <w:rsid w:val="74512C99"/>
    <w:rsid w:val="745180E1"/>
    <w:rsid w:val="745416A1"/>
    <w:rsid w:val="7460AA5D"/>
    <w:rsid w:val="7463E77A"/>
    <w:rsid w:val="746AE2EE"/>
    <w:rsid w:val="7479D568"/>
    <w:rsid w:val="7499A37C"/>
    <w:rsid w:val="74C01867"/>
    <w:rsid w:val="74CFC509"/>
    <w:rsid w:val="74DB190F"/>
    <w:rsid w:val="74DB5E0C"/>
    <w:rsid w:val="74FB6AF7"/>
    <w:rsid w:val="74FC0524"/>
    <w:rsid w:val="755A09B3"/>
    <w:rsid w:val="756139BD"/>
    <w:rsid w:val="7596D469"/>
    <w:rsid w:val="75ADFBC3"/>
    <w:rsid w:val="75CA085D"/>
    <w:rsid w:val="75E757D1"/>
    <w:rsid w:val="76349B15"/>
    <w:rsid w:val="768D218D"/>
    <w:rsid w:val="7699B0B0"/>
    <w:rsid w:val="76BBD4E0"/>
    <w:rsid w:val="76CA80E8"/>
    <w:rsid w:val="76CC3BD8"/>
    <w:rsid w:val="76CE4AB6"/>
    <w:rsid w:val="76ED5329"/>
    <w:rsid w:val="770A5682"/>
    <w:rsid w:val="770CC2FD"/>
    <w:rsid w:val="7721188B"/>
    <w:rsid w:val="77807EDE"/>
    <w:rsid w:val="7781B621"/>
    <w:rsid w:val="7783D59D"/>
    <w:rsid w:val="779B883C"/>
    <w:rsid w:val="77A773D7"/>
    <w:rsid w:val="780A6F87"/>
    <w:rsid w:val="781FFCCF"/>
    <w:rsid w:val="78302E1A"/>
    <w:rsid w:val="78364561"/>
    <w:rsid w:val="783885CE"/>
    <w:rsid w:val="7871B7A0"/>
    <w:rsid w:val="78B7AB61"/>
    <w:rsid w:val="78B8E8C3"/>
    <w:rsid w:val="78E59C85"/>
    <w:rsid w:val="79051B75"/>
    <w:rsid w:val="7905C36D"/>
    <w:rsid w:val="790CB778"/>
    <w:rsid w:val="79338F5F"/>
    <w:rsid w:val="7937589D"/>
    <w:rsid w:val="793F902B"/>
    <w:rsid w:val="795080FA"/>
    <w:rsid w:val="79641DD2"/>
    <w:rsid w:val="79844B87"/>
    <w:rsid w:val="79D23BC2"/>
    <w:rsid w:val="79DFB60B"/>
    <w:rsid w:val="79EB33AC"/>
    <w:rsid w:val="79EBC0CF"/>
    <w:rsid w:val="79EDAD97"/>
    <w:rsid w:val="7A1CD1C8"/>
    <w:rsid w:val="7A1E3580"/>
    <w:rsid w:val="7A603266"/>
    <w:rsid w:val="7A6ED2AC"/>
    <w:rsid w:val="7A782ED0"/>
    <w:rsid w:val="7A7A5CEA"/>
    <w:rsid w:val="7A7C07BE"/>
    <w:rsid w:val="7A91ED8E"/>
    <w:rsid w:val="7ABD475F"/>
    <w:rsid w:val="7AC4EA68"/>
    <w:rsid w:val="7ACD44D4"/>
    <w:rsid w:val="7AE8881D"/>
    <w:rsid w:val="7AF75401"/>
    <w:rsid w:val="7B3863D1"/>
    <w:rsid w:val="7B8DC1B1"/>
    <w:rsid w:val="7BD08942"/>
    <w:rsid w:val="7BEC1502"/>
    <w:rsid w:val="7BEEE58D"/>
    <w:rsid w:val="7C0414EA"/>
    <w:rsid w:val="7C1D8B53"/>
    <w:rsid w:val="7C32172B"/>
    <w:rsid w:val="7C4D5936"/>
    <w:rsid w:val="7C53F001"/>
    <w:rsid w:val="7C6B3021"/>
    <w:rsid w:val="7C6C1A1F"/>
    <w:rsid w:val="7C71DBB1"/>
    <w:rsid w:val="7C91D1C1"/>
    <w:rsid w:val="7CB2AFBA"/>
    <w:rsid w:val="7CD43432"/>
    <w:rsid w:val="7CDDE0AA"/>
    <w:rsid w:val="7CECA93D"/>
    <w:rsid w:val="7CF96F91"/>
    <w:rsid w:val="7D3096C7"/>
    <w:rsid w:val="7D3FE167"/>
    <w:rsid w:val="7D418666"/>
    <w:rsid w:val="7D46F7F5"/>
    <w:rsid w:val="7D5C8F6A"/>
    <w:rsid w:val="7D9969BC"/>
    <w:rsid w:val="7DA2B09B"/>
    <w:rsid w:val="7DB2D66A"/>
    <w:rsid w:val="7DB52C67"/>
    <w:rsid w:val="7DB6A868"/>
    <w:rsid w:val="7DB711FD"/>
    <w:rsid w:val="7DB90DA8"/>
    <w:rsid w:val="7DCECC68"/>
    <w:rsid w:val="7DD7273D"/>
    <w:rsid w:val="7DF930FA"/>
    <w:rsid w:val="7E09000A"/>
    <w:rsid w:val="7E0A0BF9"/>
    <w:rsid w:val="7E2EF4C3"/>
    <w:rsid w:val="7E6813EC"/>
    <w:rsid w:val="7E7B8FF9"/>
    <w:rsid w:val="7E814B14"/>
    <w:rsid w:val="7EB8BCE3"/>
    <w:rsid w:val="7EC9FC89"/>
    <w:rsid w:val="7ECC4F8B"/>
    <w:rsid w:val="7ED76CFB"/>
    <w:rsid w:val="7EE221AD"/>
    <w:rsid w:val="7EE6DBA7"/>
    <w:rsid w:val="7F0D79E6"/>
    <w:rsid w:val="7F4342FB"/>
    <w:rsid w:val="7F7716DA"/>
    <w:rsid w:val="7F79F77D"/>
    <w:rsid w:val="7F81CF88"/>
    <w:rsid w:val="7F833417"/>
    <w:rsid w:val="7F8BFA1B"/>
    <w:rsid w:val="7F9A142B"/>
    <w:rsid w:val="7FA758F3"/>
    <w:rsid w:val="7FD76BF5"/>
    <w:rsid w:val="7FEE63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B2AE"/>
  <w15:chartTrackingRefBased/>
  <w15:docId w15:val="{51F7B5CA-D587-48FC-8210-2EA83EEB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field.edu/assets/files/strategic-plan/strategic-plan-2027.pdf" TargetMode="External"/><Relationship Id="rId13" Type="http://schemas.openxmlformats.org/officeDocument/2006/relationships/hyperlink" Target="https://www.tesol.org/media/v33fewo0/2018-tesol-teacher-prep-standards-final.pdf" TargetMode="External"/><Relationship Id="rId18" Type="http://schemas.openxmlformats.org/officeDocument/2006/relationships/hyperlink" Target="https://casel.org/fundamentals-of-sel/what-is-the-casel-framewor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infield.edu/about/mission.html" TargetMode="External"/><Relationship Id="rId7" Type="http://schemas.openxmlformats.org/officeDocument/2006/relationships/webSettings" Target="webSettings.xml"/><Relationship Id="rId12" Type="http://schemas.openxmlformats.org/officeDocument/2006/relationships/hyperlink" Target="https://ccsso.org/sites/default/files/2017-12/2013_INTASC_Learning_Progressions_for_Teachers.pdf" TargetMode="External"/><Relationship Id="rId17" Type="http://schemas.openxmlformats.org/officeDocument/2006/relationships/hyperlink" Target="https://www.learningforjustice.org/sites/default/files/2022-10/WEB-LFJ-Social-Justice-Standards-October-2022-10282022.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field.edu/education/caep-accreditation.html" TargetMode="External"/><Relationship Id="rId20" Type="http://schemas.openxmlformats.org/officeDocument/2006/relationships/hyperlink" Target="https://secure.sos.state.or.us/oard/viewSingleRule.action?ruleVrsnRsn=29897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tspc/Rules/Pages/TSPC-OAR.aspx" TargetMode="External"/><Relationship Id="rId24" Type="http://schemas.openxmlformats.org/officeDocument/2006/relationships/hyperlink" Target="https://inside.linfield.edu/_files/academic-affairs/2020-21-FACULTY-HANDBOOK-01-06-21.pdf" TargetMode="External"/><Relationship Id="rId5" Type="http://schemas.openxmlformats.org/officeDocument/2006/relationships/styles" Target="styles.xml"/><Relationship Id="rId15" Type="http://schemas.openxmlformats.org/officeDocument/2006/relationships/hyperlink" Target="https://exceptionalchildren.org/standards/initial-practice-based-professional-preparation-standards-special-educators" TargetMode="External"/><Relationship Id="rId23" Type="http://schemas.openxmlformats.org/officeDocument/2006/relationships/hyperlink" Target="https://inside.linfield.edu/faculty-resources/departmental-guidelines.html" TargetMode="External"/><Relationship Id="rId10" Type="http://schemas.openxmlformats.org/officeDocument/2006/relationships/hyperlink" Target="https://inside.linfield.edu/_files/academic-affairs/2020-eFile-Preparation-Instructions1.pdf" TargetMode="External"/><Relationship Id="rId19" Type="http://schemas.openxmlformats.org/officeDocument/2006/relationships/hyperlink" Target="https://secure.sos.state.or.us/oard/viewSingleRule.action?ruleVrsnRsn=284128" TargetMode="External"/><Relationship Id="rId4" Type="http://schemas.openxmlformats.org/officeDocument/2006/relationships/numbering" Target="numbering.xml"/><Relationship Id="rId9" Type="http://schemas.openxmlformats.org/officeDocument/2006/relationships/hyperlink" Target="https://linfield.sharepoint.com/:w:/s/Education%20Department/EeKZLScKjEpJr_LH4aCHR_ABFyjWRuX8yMvJXHeswiT_pA?e=a9PNiB" TargetMode="External"/><Relationship Id="rId14" Type="http://schemas.openxmlformats.org/officeDocument/2006/relationships/hyperlink" Target="https://www.oregon.gov/ode/educator-resources/standards/pages/default.aspx" TargetMode="External"/><Relationship Id="rId22" Type="http://schemas.openxmlformats.org/officeDocument/2006/relationships/hyperlink" Target="https://www.nestest.com/" TargetMode="External"/><Relationship Id="rId2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13b4b9-0c03-47da-bbfa-64575c0c0272">
      <Terms xmlns="http://schemas.microsoft.com/office/infopath/2007/PartnerControls"/>
    </lcf76f155ced4ddcb4097134ff3c332f>
    <TaxCatchAll xmlns="57e29a93-a127-4852-b56d-ecdff1311e0e" xsi:nil="true"/>
    <SharedWithUsers xmlns="57e29a93-a127-4852-b56d-ecdff1311e0e">
      <UserInfo>
        <DisplayName>Christine Latulippe</DisplayName>
        <AccountId>1411</AccountId>
        <AccountType/>
      </UserInfo>
      <UserInfo>
        <DisplayName>Tonda Liggett</DisplayName>
        <AccountId>81</AccountId>
        <AccountType/>
      </UserInfo>
      <UserInfo>
        <DisplayName>Carrie Kondor</DisplayName>
        <AccountId>451</AccountId>
        <AccountType/>
      </UserInfo>
      <UserInfo>
        <DisplayName>Kena Avila</DisplayName>
        <AccountId>15</AccountId>
        <AccountType/>
      </UserInfo>
      <UserInfo>
        <DisplayName>Mindy Larson</DisplayName>
        <AccountId>12</AccountId>
        <AccountType/>
      </UserInfo>
      <UserInfo>
        <DisplayName>Steven Bernhisel</DisplayName>
        <AccountId>19</AccountId>
        <AccountType/>
      </UserInfo>
      <UserInfo>
        <DisplayName>Emily Evanstein</DisplayName>
        <AccountId>1192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38D606E193E546A67A670A7A7EE389" ma:contentTypeVersion="16" ma:contentTypeDescription="Create a new document." ma:contentTypeScope="" ma:versionID="7b0900a5a12e8049298dc0431d22d5ae">
  <xsd:schema xmlns:xsd="http://www.w3.org/2001/XMLSchema" xmlns:xs="http://www.w3.org/2001/XMLSchema" xmlns:p="http://schemas.microsoft.com/office/2006/metadata/properties" xmlns:ns2="db13b4b9-0c03-47da-bbfa-64575c0c0272" xmlns:ns3="57e29a93-a127-4852-b56d-ecdff1311e0e" targetNamespace="http://schemas.microsoft.com/office/2006/metadata/properties" ma:root="true" ma:fieldsID="eb763cfdfd09e9d53451e015014fee48" ns2:_="" ns3:_="">
    <xsd:import namespace="db13b4b9-0c03-47da-bbfa-64575c0c0272"/>
    <xsd:import namespace="57e29a93-a127-4852-b56d-ecdff1311e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b4b9-0c03-47da-bbfa-64575c0c0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718792-7a90-48bc-a9d9-03628cfb24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e29a93-a127-4852-b56d-ecdff1311e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5dd2193-bb81-4474-8577-79cb8be9227e}" ma:internalName="TaxCatchAll" ma:showField="CatchAllData" ma:web="57e29a93-a127-4852-b56d-ecdff1311e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A5D17-25F4-4D45-9DA2-15EA5A81AFEC}">
  <ds:schemaRefs>
    <ds:schemaRef ds:uri="http://schemas.microsoft.com/office/2006/metadata/properties"/>
    <ds:schemaRef ds:uri="http://schemas.microsoft.com/office/infopath/2007/PartnerControls"/>
    <ds:schemaRef ds:uri="db13b4b9-0c03-47da-bbfa-64575c0c0272"/>
    <ds:schemaRef ds:uri="57e29a93-a127-4852-b56d-ecdff1311e0e"/>
  </ds:schemaRefs>
</ds:datastoreItem>
</file>

<file path=customXml/itemProps2.xml><?xml version="1.0" encoding="utf-8"?>
<ds:datastoreItem xmlns:ds="http://schemas.openxmlformats.org/officeDocument/2006/customXml" ds:itemID="{734C3E5E-EAB3-4E00-AB5C-B8C5CFA68894}">
  <ds:schemaRefs>
    <ds:schemaRef ds:uri="http://schemas.microsoft.com/sharepoint/v3/contenttype/forms"/>
  </ds:schemaRefs>
</ds:datastoreItem>
</file>

<file path=customXml/itemProps3.xml><?xml version="1.0" encoding="utf-8"?>
<ds:datastoreItem xmlns:ds="http://schemas.openxmlformats.org/officeDocument/2006/customXml" ds:itemID="{97E19E39-0F37-443B-A6E0-9C8B11583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3b4b9-0c03-47da-bbfa-64575c0c0272"/>
    <ds:schemaRef ds:uri="57e29a93-a127-4852-b56d-ecdff1311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5488</Words>
  <Characters>31287</Characters>
  <Application>Microsoft Office Word</Application>
  <DocSecurity>4</DocSecurity>
  <Lines>260</Lines>
  <Paragraphs>73</Paragraphs>
  <ScaleCrop>false</ScaleCrop>
  <Company/>
  <LinksUpToDate>false</LinksUpToDate>
  <CharactersWithSpaces>36702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Kena Avila</dc:creator>
  <cp:keywords/>
  <dc:description/>
  <cp:lastModifiedBy>Dawn Nowacki</cp:lastModifiedBy>
  <cp:revision>2</cp:revision>
  <dcterms:created xsi:type="dcterms:W3CDTF">2023-05-26T16:30:00Z</dcterms:created>
  <dcterms:modified xsi:type="dcterms:W3CDTF">2023-05-26T16:30:00Z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0x010100D838D606E193E546A67A670A7A7EE389</vt:lpwstr>
  </property>
  <property fmtid="{D5CDD505-2E9C-101B-9397-08002B2CF9AE}" pid="3" name="MediaServiceImageTags">
    <vt:lpwstr/>
  </property>
</Properties>
</file>